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199E" w14:textId="77777777" w:rsidR="008F62B4" w:rsidRDefault="008F62B4" w:rsidP="008F62B4">
      <w:pPr>
        <w:pStyle w:val="1Report"/>
        <w:spacing w:line="280" w:lineRule="atLeast"/>
        <w:contextualSpacing/>
        <w:jc w:val="both"/>
        <w:rPr>
          <w:rFonts w:asciiTheme="minorHAnsi" w:hAnsiTheme="minorHAnsi"/>
        </w:rPr>
      </w:pPr>
    </w:p>
    <w:p w14:paraId="10E2889C" w14:textId="77777777" w:rsidR="008F62B4" w:rsidRDefault="008F62B4" w:rsidP="008F62B4">
      <w:pPr>
        <w:pStyle w:val="1Report"/>
        <w:spacing w:line="280" w:lineRule="atLeast"/>
        <w:contextualSpacing/>
        <w:jc w:val="both"/>
        <w:rPr>
          <w:rFonts w:asciiTheme="minorHAnsi" w:hAnsiTheme="minorHAnsi"/>
        </w:rPr>
      </w:pPr>
      <w:r>
        <w:rPr>
          <w:noProof/>
        </w:rPr>
        <w:drawing>
          <wp:inline distT="0" distB="0" distL="0" distR="0" wp14:anchorId="16EE0DC6" wp14:editId="13BE5A52">
            <wp:extent cx="3600450" cy="24858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4067" cy="252976"/>
                    </a:xfrm>
                    <a:prstGeom prst="rect">
                      <a:avLst/>
                    </a:prstGeom>
                    <a:noFill/>
                    <a:ln>
                      <a:noFill/>
                    </a:ln>
                  </pic:spPr>
                </pic:pic>
              </a:graphicData>
            </a:graphic>
          </wp:inline>
        </w:drawing>
      </w:r>
    </w:p>
    <w:p w14:paraId="5D9F83B7" w14:textId="77777777" w:rsidR="008F62B4" w:rsidRDefault="008F62B4" w:rsidP="008F62B4">
      <w:pPr>
        <w:pStyle w:val="1Report"/>
        <w:spacing w:line="280" w:lineRule="atLeast"/>
        <w:contextualSpacing/>
        <w:jc w:val="both"/>
        <w:rPr>
          <w:rFonts w:asciiTheme="minorHAnsi" w:hAnsiTheme="minorHAnsi"/>
        </w:rPr>
      </w:pPr>
    </w:p>
    <w:p w14:paraId="4B8CE26A" w14:textId="77777777" w:rsidR="008F62B4" w:rsidRPr="00AE1FAB" w:rsidRDefault="008F62B4" w:rsidP="008F62B4">
      <w:pPr>
        <w:pStyle w:val="3Subtitle"/>
        <w:rPr>
          <w:bCs/>
          <w:smallCaps/>
          <w:sz w:val="36"/>
          <w:szCs w:val="28"/>
        </w:rPr>
      </w:pPr>
      <w:r w:rsidRPr="00EB6847">
        <w:rPr>
          <w:b/>
          <w:sz w:val="48"/>
        </w:rPr>
        <w:t xml:space="preserve">L'enquête sur la </w:t>
      </w:r>
      <w:r>
        <w:rPr>
          <w:b/>
          <w:sz w:val="48"/>
        </w:rPr>
        <w:t>S</w:t>
      </w:r>
      <w:r w:rsidRPr="00EB6847">
        <w:rPr>
          <w:b/>
          <w:sz w:val="48"/>
        </w:rPr>
        <w:t xml:space="preserve">anté, les </w:t>
      </w:r>
      <w:r>
        <w:rPr>
          <w:b/>
          <w:sz w:val="48"/>
        </w:rPr>
        <w:t>A</w:t>
      </w:r>
      <w:r w:rsidRPr="00EB6847">
        <w:rPr>
          <w:b/>
          <w:sz w:val="48"/>
        </w:rPr>
        <w:t xml:space="preserve">ttitudes et les </w:t>
      </w:r>
      <w:r>
        <w:rPr>
          <w:b/>
          <w:sz w:val="48"/>
        </w:rPr>
        <w:t>C</w:t>
      </w:r>
      <w:r w:rsidRPr="00EB6847">
        <w:rPr>
          <w:b/>
          <w:sz w:val="48"/>
        </w:rPr>
        <w:t xml:space="preserve">onnaissances </w:t>
      </w:r>
      <w:r>
        <w:rPr>
          <w:b/>
          <w:sz w:val="48"/>
        </w:rPr>
        <w:t>C</w:t>
      </w:r>
      <w:r w:rsidRPr="00EB6847">
        <w:rPr>
          <w:b/>
          <w:sz w:val="48"/>
        </w:rPr>
        <w:t>omportementales (</w:t>
      </w:r>
      <w:r>
        <w:rPr>
          <w:b/>
          <w:sz w:val="48"/>
        </w:rPr>
        <w:t>SACC</w:t>
      </w:r>
      <w:r>
        <w:rPr>
          <w:b/>
          <w:caps/>
          <w:sz w:val="48"/>
        </w:rPr>
        <w:t>)</w:t>
      </w:r>
      <w:r>
        <w:rPr>
          <w:b/>
          <w:caps/>
          <w:sz w:val="48"/>
        </w:rPr>
        <w:br/>
      </w:r>
    </w:p>
    <w:p w14:paraId="76D6DBAA" w14:textId="77777777" w:rsidR="008F62B4" w:rsidRPr="00C004BE" w:rsidRDefault="008F62B4" w:rsidP="008F62B4">
      <w:pPr>
        <w:pStyle w:val="3Subtitle"/>
        <w:rPr>
          <w:b/>
          <w:caps/>
          <w:sz w:val="48"/>
        </w:rPr>
      </w:pPr>
      <w:r>
        <w:rPr>
          <w:bCs/>
          <w:smallCaps/>
          <w:sz w:val="36"/>
          <w:szCs w:val="28"/>
        </w:rPr>
        <w:t>SOMMAIRE</w:t>
      </w:r>
    </w:p>
    <w:p w14:paraId="2BB5FCD3" w14:textId="77777777" w:rsidR="008F62B4" w:rsidRPr="00C456B8" w:rsidRDefault="008F62B4" w:rsidP="008F62B4">
      <w:pPr>
        <w:pStyle w:val="3Subtitle"/>
        <w:spacing w:line="280" w:lineRule="atLeast"/>
        <w:contextualSpacing/>
        <w:jc w:val="both"/>
        <w:rPr>
          <w:rFonts w:asciiTheme="minorHAnsi" w:hAnsiTheme="minorHAnsi"/>
          <w:sz w:val="22"/>
          <w:szCs w:val="22"/>
          <w:highlight w:val="yellow"/>
        </w:rPr>
      </w:pPr>
    </w:p>
    <w:p w14:paraId="7FB0EC10" w14:textId="77777777" w:rsidR="008F62B4" w:rsidRDefault="008F62B4" w:rsidP="008F62B4">
      <w:pPr>
        <w:pStyle w:val="3Subtitle"/>
        <w:spacing w:line="280" w:lineRule="atLeast"/>
        <w:contextualSpacing/>
        <w:jc w:val="both"/>
        <w:rPr>
          <w:rFonts w:asciiTheme="minorHAnsi" w:hAnsiTheme="minorHAnsi"/>
          <w:sz w:val="22"/>
        </w:rPr>
      </w:pPr>
    </w:p>
    <w:p w14:paraId="415D119B" w14:textId="77777777" w:rsidR="008F62B4" w:rsidRPr="00C456B8" w:rsidRDefault="008F62B4" w:rsidP="008F62B4">
      <w:pPr>
        <w:pStyle w:val="3Subtitle"/>
        <w:spacing w:line="280" w:lineRule="atLeast"/>
        <w:contextualSpacing/>
        <w:jc w:val="both"/>
        <w:rPr>
          <w:rFonts w:asciiTheme="minorHAnsi" w:hAnsiTheme="minorHAnsi"/>
          <w:sz w:val="22"/>
          <w:szCs w:val="22"/>
        </w:rPr>
      </w:pPr>
      <w:r w:rsidRPr="00C456B8">
        <w:rPr>
          <w:rFonts w:asciiTheme="minorHAnsi" w:hAnsiTheme="minorHAnsi"/>
          <w:sz w:val="22"/>
        </w:rPr>
        <w:t>Présenté au</w:t>
      </w:r>
    </w:p>
    <w:p w14:paraId="2A794173" w14:textId="77777777" w:rsidR="008F62B4" w:rsidRPr="00C456B8" w:rsidRDefault="008F62B4" w:rsidP="008F62B4">
      <w:pPr>
        <w:pStyle w:val="3Subtitle"/>
        <w:spacing w:line="280" w:lineRule="atLeast"/>
        <w:contextualSpacing/>
        <w:jc w:val="both"/>
        <w:rPr>
          <w:rFonts w:asciiTheme="minorHAnsi" w:hAnsiTheme="minorHAnsi"/>
          <w:sz w:val="22"/>
          <w:szCs w:val="22"/>
        </w:rPr>
      </w:pPr>
      <w:r w:rsidRPr="00C456B8">
        <w:rPr>
          <w:rFonts w:asciiTheme="minorHAnsi" w:hAnsiTheme="minorHAnsi"/>
          <w:sz w:val="22"/>
        </w:rPr>
        <w:t>Bureau du Conseil privé (BCP)</w:t>
      </w:r>
    </w:p>
    <w:p w14:paraId="08D09FF7" w14:textId="77777777" w:rsidR="008F62B4" w:rsidRPr="00C456B8" w:rsidRDefault="008F62B4" w:rsidP="008F62B4">
      <w:pPr>
        <w:pStyle w:val="3Subtitle"/>
        <w:spacing w:line="280" w:lineRule="atLeast"/>
        <w:contextualSpacing/>
        <w:jc w:val="both"/>
        <w:rPr>
          <w:rFonts w:asciiTheme="minorHAnsi" w:hAnsiTheme="minorHAnsi"/>
          <w:sz w:val="22"/>
          <w:szCs w:val="22"/>
        </w:rPr>
      </w:pPr>
    </w:p>
    <w:p w14:paraId="46956946" w14:textId="77777777" w:rsidR="008F62B4" w:rsidRPr="00C456B8" w:rsidRDefault="008F62B4" w:rsidP="008F62B4">
      <w:pPr>
        <w:pStyle w:val="3Subtitle"/>
        <w:spacing w:line="280" w:lineRule="atLeast"/>
        <w:contextualSpacing/>
        <w:jc w:val="both"/>
        <w:rPr>
          <w:rFonts w:asciiTheme="minorHAnsi" w:hAnsiTheme="minorHAnsi"/>
          <w:sz w:val="22"/>
          <w:szCs w:val="22"/>
        </w:rPr>
      </w:pPr>
      <w:r w:rsidRPr="00C456B8">
        <w:rPr>
          <w:rFonts w:asciiTheme="minorHAnsi" w:hAnsiTheme="minorHAnsi"/>
          <w:sz w:val="22"/>
        </w:rPr>
        <w:t>Préparé par</w:t>
      </w:r>
    </w:p>
    <w:p w14:paraId="6CF47227" w14:textId="77777777" w:rsidR="008F62B4" w:rsidRPr="00C456B8" w:rsidRDefault="008F62B4" w:rsidP="008F62B4">
      <w:pPr>
        <w:pStyle w:val="3Subtitle"/>
        <w:spacing w:line="280" w:lineRule="atLeast"/>
        <w:contextualSpacing/>
        <w:jc w:val="both"/>
        <w:rPr>
          <w:rFonts w:asciiTheme="minorHAnsi" w:hAnsiTheme="minorHAnsi"/>
          <w:sz w:val="22"/>
          <w:szCs w:val="22"/>
        </w:rPr>
      </w:pPr>
      <w:r w:rsidRPr="00C456B8">
        <w:rPr>
          <w:rFonts w:asciiTheme="minorHAnsi" w:hAnsiTheme="minorHAnsi"/>
          <w:sz w:val="22"/>
        </w:rPr>
        <w:t>Léger</w:t>
      </w:r>
    </w:p>
    <w:p w14:paraId="78CC2632" w14:textId="77777777" w:rsidR="008F62B4" w:rsidRPr="00C456B8" w:rsidRDefault="008F62B4" w:rsidP="008F62B4">
      <w:pPr>
        <w:pStyle w:val="3Subtitle"/>
        <w:spacing w:line="280" w:lineRule="atLeast"/>
        <w:contextualSpacing/>
        <w:jc w:val="both"/>
        <w:rPr>
          <w:rFonts w:asciiTheme="minorHAnsi" w:hAnsiTheme="minorHAnsi"/>
          <w:sz w:val="22"/>
          <w:szCs w:val="22"/>
        </w:rPr>
      </w:pPr>
    </w:p>
    <w:p w14:paraId="4AE238E2" w14:textId="77777777" w:rsidR="008F62B4" w:rsidRPr="00C456B8" w:rsidRDefault="008F62B4" w:rsidP="008F62B4">
      <w:pPr>
        <w:pStyle w:val="3Subtitle"/>
        <w:spacing w:line="280" w:lineRule="atLeast"/>
        <w:contextualSpacing/>
        <w:jc w:val="both"/>
        <w:rPr>
          <w:rFonts w:asciiTheme="minorHAnsi" w:hAnsiTheme="minorHAnsi"/>
          <w:sz w:val="22"/>
          <w:szCs w:val="22"/>
        </w:rPr>
      </w:pPr>
      <w:r w:rsidRPr="00C456B8">
        <w:rPr>
          <w:rFonts w:asciiTheme="minorHAnsi" w:hAnsiTheme="minorHAnsi"/>
          <w:sz w:val="22"/>
        </w:rPr>
        <w:t xml:space="preserve">This report </w:t>
      </w:r>
      <w:proofErr w:type="spellStart"/>
      <w:r w:rsidRPr="00C456B8">
        <w:rPr>
          <w:rFonts w:asciiTheme="minorHAnsi" w:hAnsiTheme="minorHAnsi"/>
          <w:sz w:val="22"/>
        </w:rPr>
        <w:t>is</w:t>
      </w:r>
      <w:proofErr w:type="spellEnd"/>
      <w:r w:rsidRPr="00C456B8">
        <w:rPr>
          <w:rFonts w:asciiTheme="minorHAnsi" w:hAnsiTheme="minorHAnsi"/>
          <w:sz w:val="22"/>
        </w:rPr>
        <w:t xml:space="preserve"> </w:t>
      </w:r>
      <w:proofErr w:type="spellStart"/>
      <w:r w:rsidRPr="00C456B8">
        <w:rPr>
          <w:rFonts w:asciiTheme="minorHAnsi" w:hAnsiTheme="minorHAnsi"/>
          <w:sz w:val="22"/>
        </w:rPr>
        <w:t>also</w:t>
      </w:r>
      <w:proofErr w:type="spellEnd"/>
      <w:r w:rsidRPr="00C456B8">
        <w:rPr>
          <w:rFonts w:asciiTheme="minorHAnsi" w:hAnsiTheme="minorHAnsi"/>
          <w:sz w:val="22"/>
        </w:rPr>
        <w:t xml:space="preserve"> </w:t>
      </w:r>
      <w:proofErr w:type="spellStart"/>
      <w:r w:rsidRPr="00C456B8">
        <w:rPr>
          <w:rFonts w:asciiTheme="minorHAnsi" w:hAnsiTheme="minorHAnsi"/>
          <w:sz w:val="22"/>
        </w:rPr>
        <w:t>available</w:t>
      </w:r>
      <w:proofErr w:type="spellEnd"/>
      <w:r w:rsidRPr="00C456B8">
        <w:rPr>
          <w:rFonts w:asciiTheme="minorHAnsi" w:hAnsiTheme="minorHAnsi"/>
          <w:sz w:val="22"/>
        </w:rPr>
        <w:t xml:space="preserve"> in English.</w:t>
      </w:r>
    </w:p>
    <w:p w14:paraId="63AD2585" w14:textId="77777777" w:rsidR="008F62B4" w:rsidRPr="00C456B8" w:rsidRDefault="008F62B4" w:rsidP="008F62B4">
      <w:pPr>
        <w:pStyle w:val="3Subtitle"/>
        <w:spacing w:line="280" w:lineRule="atLeast"/>
        <w:contextualSpacing/>
        <w:jc w:val="both"/>
        <w:rPr>
          <w:rFonts w:asciiTheme="minorHAnsi" w:hAnsiTheme="minorHAnsi"/>
          <w:sz w:val="22"/>
          <w:szCs w:val="22"/>
        </w:rPr>
      </w:pPr>
    </w:p>
    <w:p w14:paraId="04853CFB" w14:textId="77777777" w:rsidR="008F62B4" w:rsidRPr="00C456B8" w:rsidRDefault="008F62B4" w:rsidP="008F62B4">
      <w:pPr>
        <w:pStyle w:val="3Subtitle"/>
        <w:spacing w:line="280" w:lineRule="atLeast"/>
        <w:contextualSpacing/>
        <w:jc w:val="both"/>
        <w:rPr>
          <w:rFonts w:asciiTheme="minorHAnsi" w:hAnsiTheme="minorHAnsi"/>
          <w:sz w:val="22"/>
          <w:szCs w:val="22"/>
        </w:rPr>
      </w:pPr>
      <w:r w:rsidRPr="00A13AFC">
        <w:rPr>
          <w:rFonts w:asciiTheme="minorHAnsi" w:hAnsiTheme="minorHAnsi"/>
          <w:b/>
          <w:sz w:val="22"/>
        </w:rPr>
        <w:t>Numéro de contrat :</w:t>
      </w:r>
      <w:r w:rsidRPr="00C456B8">
        <w:rPr>
          <w:rFonts w:asciiTheme="minorHAnsi" w:hAnsiTheme="minorHAnsi"/>
          <w:sz w:val="22"/>
        </w:rPr>
        <w:t xml:space="preserve"> 35035-23-0995</w:t>
      </w:r>
    </w:p>
    <w:p w14:paraId="06811E9C" w14:textId="77777777" w:rsidR="008F62B4" w:rsidRPr="00C456B8" w:rsidRDefault="008F62B4" w:rsidP="008F62B4">
      <w:pPr>
        <w:pStyle w:val="3Subtitle"/>
        <w:spacing w:line="280" w:lineRule="atLeast"/>
        <w:contextualSpacing/>
        <w:jc w:val="both"/>
        <w:rPr>
          <w:rFonts w:asciiTheme="minorHAnsi" w:hAnsiTheme="minorHAnsi"/>
          <w:sz w:val="22"/>
          <w:szCs w:val="22"/>
        </w:rPr>
      </w:pPr>
      <w:r w:rsidRPr="00A13AFC">
        <w:rPr>
          <w:b/>
          <w:bCs/>
          <w:sz w:val="23"/>
          <w:szCs w:val="23"/>
        </w:rPr>
        <w:t xml:space="preserve">Numéro d’enregistrement : </w:t>
      </w:r>
      <w:r w:rsidRPr="00C456B8">
        <w:rPr>
          <w:rFonts w:asciiTheme="minorHAnsi" w:hAnsiTheme="minorHAnsi"/>
          <w:sz w:val="22"/>
        </w:rPr>
        <w:t>POR #030-23</w:t>
      </w:r>
    </w:p>
    <w:p w14:paraId="22800DB5" w14:textId="77777777" w:rsidR="008F62B4" w:rsidRPr="00C456B8" w:rsidDel="00126141" w:rsidRDefault="008F62B4" w:rsidP="008F62B4">
      <w:pPr>
        <w:pStyle w:val="3Subtitle"/>
        <w:spacing w:line="280" w:lineRule="atLeast"/>
        <w:contextualSpacing/>
        <w:jc w:val="both"/>
        <w:rPr>
          <w:rFonts w:asciiTheme="minorHAnsi" w:hAnsiTheme="minorHAnsi"/>
          <w:sz w:val="22"/>
          <w:szCs w:val="22"/>
        </w:rPr>
      </w:pPr>
      <w:r w:rsidRPr="00A13AFC">
        <w:rPr>
          <w:rFonts w:asciiTheme="minorHAnsi" w:hAnsiTheme="minorHAnsi"/>
          <w:b/>
          <w:sz w:val="22"/>
        </w:rPr>
        <w:t xml:space="preserve">Valeur </w:t>
      </w:r>
      <w:r w:rsidRPr="00A13AFC" w:rsidDel="00126141">
        <w:rPr>
          <w:rFonts w:asciiTheme="minorHAnsi" w:hAnsiTheme="minorHAnsi"/>
          <w:b/>
          <w:sz w:val="22"/>
        </w:rPr>
        <w:t>du contrat :</w:t>
      </w:r>
      <w:r w:rsidRPr="00C456B8" w:rsidDel="00126141">
        <w:rPr>
          <w:rFonts w:asciiTheme="minorHAnsi" w:hAnsiTheme="minorHAnsi"/>
          <w:sz w:val="22"/>
        </w:rPr>
        <w:t xml:space="preserve"> 99 713,46 $ (TVH comprise)</w:t>
      </w:r>
    </w:p>
    <w:p w14:paraId="259A93B9" w14:textId="77777777" w:rsidR="008F62B4" w:rsidRPr="0070207B" w:rsidRDefault="008F62B4" w:rsidP="008F62B4">
      <w:pPr>
        <w:pStyle w:val="3Subtitle"/>
        <w:spacing w:line="280" w:lineRule="atLeast"/>
        <w:contextualSpacing/>
        <w:jc w:val="both"/>
        <w:rPr>
          <w:rFonts w:asciiTheme="minorHAnsi" w:hAnsiTheme="minorHAnsi"/>
          <w:sz w:val="22"/>
          <w:szCs w:val="22"/>
        </w:rPr>
      </w:pPr>
      <w:r w:rsidRPr="00A13AFC">
        <w:rPr>
          <w:rFonts w:asciiTheme="minorHAnsi" w:hAnsiTheme="minorHAnsi"/>
          <w:b/>
          <w:sz w:val="22"/>
        </w:rPr>
        <w:t>Date d’octroi du contrat :</w:t>
      </w:r>
      <w:r w:rsidRPr="00C456B8">
        <w:rPr>
          <w:rFonts w:asciiTheme="minorHAnsi" w:hAnsiTheme="minorHAnsi"/>
          <w:sz w:val="22"/>
        </w:rPr>
        <w:t xml:space="preserve"> </w:t>
      </w:r>
      <w:r>
        <w:rPr>
          <w:rFonts w:asciiTheme="minorHAnsi" w:hAnsiTheme="minorHAnsi"/>
          <w:sz w:val="22"/>
        </w:rPr>
        <w:t>8 août, 2023</w:t>
      </w:r>
    </w:p>
    <w:p w14:paraId="3621F82C" w14:textId="77777777" w:rsidR="008F62B4" w:rsidRDefault="008F62B4" w:rsidP="008F62B4">
      <w:pPr>
        <w:pStyle w:val="3Subtitle"/>
        <w:spacing w:line="280" w:lineRule="atLeast"/>
        <w:contextualSpacing/>
        <w:jc w:val="both"/>
        <w:rPr>
          <w:rFonts w:asciiTheme="minorHAnsi" w:hAnsiTheme="minorHAnsi"/>
          <w:sz w:val="22"/>
          <w:szCs w:val="22"/>
        </w:rPr>
      </w:pPr>
      <w:r w:rsidRPr="00A13AFC">
        <w:rPr>
          <w:rFonts w:asciiTheme="minorHAnsi" w:hAnsiTheme="minorHAnsi"/>
          <w:b/>
          <w:sz w:val="22"/>
          <w:szCs w:val="22"/>
        </w:rPr>
        <w:t>Date de livraison :</w:t>
      </w:r>
      <w:r>
        <w:rPr>
          <w:rFonts w:asciiTheme="minorHAnsi" w:hAnsiTheme="minorHAnsi"/>
          <w:sz w:val="22"/>
          <w:szCs w:val="22"/>
        </w:rPr>
        <w:t xml:space="preserve"> 27 mars, 2023</w:t>
      </w:r>
    </w:p>
    <w:p w14:paraId="503A9344" w14:textId="77777777" w:rsidR="008F62B4" w:rsidRPr="00364482" w:rsidRDefault="008F62B4" w:rsidP="008F62B4">
      <w:pPr>
        <w:pStyle w:val="Rapportnormal"/>
      </w:pPr>
    </w:p>
    <w:p w14:paraId="72306507" w14:textId="77777777" w:rsidR="008F62B4" w:rsidRPr="00C456B8" w:rsidRDefault="008F62B4" w:rsidP="008F62B4">
      <w:pPr>
        <w:pStyle w:val="3Subtitle"/>
        <w:spacing w:line="280" w:lineRule="atLeast"/>
        <w:contextualSpacing/>
        <w:jc w:val="both"/>
        <w:rPr>
          <w:rFonts w:asciiTheme="minorHAnsi" w:hAnsiTheme="minorHAnsi"/>
          <w:sz w:val="22"/>
          <w:szCs w:val="22"/>
        </w:rPr>
      </w:pPr>
      <w:r w:rsidRPr="00C456B8">
        <w:rPr>
          <w:rFonts w:asciiTheme="minorHAnsi" w:hAnsiTheme="minorHAnsi"/>
          <w:sz w:val="22"/>
        </w:rPr>
        <w:t>Pour obtenir de plus amples renseignements sur ce rapport, veuillez communiquer avec le Bureau du Conseil privé à l’adresse</w:t>
      </w:r>
      <w:r>
        <w:rPr>
          <w:rFonts w:asciiTheme="minorHAnsi" w:hAnsiTheme="minorHAnsi"/>
          <w:sz w:val="22"/>
        </w:rPr>
        <w:t xml:space="preserve"> </w:t>
      </w:r>
      <w:hyperlink r:id="rId7" w:history="1">
        <w:r w:rsidRPr="00C456B8">
          <w:rPr>
            <w:rStyle w:val="Hyperlink"/>
            <w:rFonts w:asciiTheme="minorHAnsi" w:hAnsiTheme="minorHAnsi"/>
            <w:sz w:val="22"/>
          </w:rPr>
          <w:t>por-rop@pco-bcp.gc.ca</w:t>
        </w:r>
      </w:hyperlink>
      <w:r>
        <w:rPr>
          <w:rFonts w:asciiTheme="minorHAnsi" w:hAnsiTheme="minorHAnsi"/>
          <w:sz w:val="22"/>
        </w:rPr>
        <w:t>.</w:t>
      </w:r>
    </w:p>
    <w:p w14:paraId="45A0A8C4" w14:textId="77777777" w:rsidR="008F62B4" w:rsidRDefault="008F62B4" w:rsidP="008F62B4">
      <w:pPr>
        <w:spacing w:after="0" w:line="280" w:lineRule="atLeast"/>
        <w:jc w:val="both"/>
        <w:rPr>
          <w:rFonts w:asciiTheme="minorHAnsi" w:hAnsiTheme="minorHAnsi"/>
          <w:highlight w:val="yellow"/>
        </w:rPr>
      </w:pPr>
    </w:p>
    <w:p w14:paraId="3F773E58" w14:textId="77777777" w:rsidR="008F62B4" w:rsidRPr="00C456B8" w:rsidRDefault="008F62B4" w:rsidP="008F62B4">
      <w:pPr>
        <w:spacing w:after="0" w:line="280" w:lineRule="atLeast"/>
        <w:jc w:val="both"/>
        <w:rPr>
          <w:rFonts w:asciiTheme="minorHAnsi" w:hAnsiTheme="minorHAnsi"/>
          <w:highlight w:val="yellow"/>
        </w:rPr>
      </w:pPr>
    </w:p>
    <w:p w14:paraId="5C9F9952" w14:textId="77777777" w:rsidR="008F62B4" w:rsidRPr="00C456B8" w:rsidRDefault="008F62B4" w:rsidP="008F62B4">
      <w:pPr>
        <w:spacing w:after="0" w:line="280" w:lineRule="atLeast"/>
        <w:jc w:val="both"/>
        <w:rPr>
          <w:rFonts w:asciiTheme="minorHAnsi" w:hAnsiTheme="minorHAnsi"/>
          <w:highlight w:val="yellow"/>
        </w:rPr>
      </w:pPr>
    </w:p>
    <w:p w14:paraId="71C9D972" w14:textId="77777777" w:rsidR="008F62B4" w:rsidRPr="00C456B8" w:rsidRDefault="008F62B4" w:rsidP="008F62B4">
      <w:pPr>
        <w:spacing w:after="0" w:line="280" w:lineRule="atLeast"/>
        <w:jc w:val="right"/>
        <w:rPr>
          <w:rFonts w:asciiTheme="minorHAnsi" w:hAnsiTheme="minorHAnsi"/>
          <w:highlight w:val="yellow"/>
        </w:rPr>
      </w:pPr>
    </w:p>
    <w:p w14:paraId="67A7D183" w14:textId="77777777" w:rsidR="008F62B4" w:rsidRPr="00C456B8" w:rsidRDefault="008F62B4" w:rsidP="008F62B4">
      <w:pPr>
        <w:spacing w:after="0" w:line="280" w:lineRule="atLeast"/>
        <w:jc w:val="right"/>
        <w:rPr>
          <w:rFonts w:asciiTheme="minorHAnsi" w:hAnsiTheme="minorHAnsi"/>
          <w:highlight w:val="yellow"/>
        </w:rPr>
      </w:pPr>
    </w:p>
    <w:p w14:paraId="2C1D8C65" w14:textId="77777777" w:rsidR="008F62B4" w:rsidRPr="00C456B8" w:rsidRDefault="008F62B4" w:rsidP="008F62B4">
      <w:pPr>
        <w:spacing w:after="0" w:line="280" w:lineRule="atLeast"/>
        <w:jc w:val="both"/>
        <w:rPr>
          <w:rFonts w:asciiTheme="minorHAnsi" w:hAnsiTheme="minorHAnsi"/>
          <w:highlight w:val="yellow"/>
        </w:rPr>
      </w:pPr>
    </w:p>
    <w:p w14:paraId="049FD78F" w14:textId="77777777" w:rsidR="008F62B4" w:rsidRPr="00C33A1F" w:rsidRDefault="008F62B4" w:rsidP="008F62B4">
      <w:pPr>
        <w:spacing w:after="0" w:line="280" w:lineRule="atLeast"/>
        <w:jc w:val="both"/>
        <w:rPr>
          <w:rFonts w:asciiTheme="minorHAnsi" w:hAnsiTheme="minorHAnsi"/>
          <w:highlight w:val="yellow"/>
        </w:rPr>
      </w:pPr>
      <w:r w:rsidRPr="0031521B">
        <w:rPr>
          <w:rFonts w:asciiTheme="minorHAnsi" w:hAnsiTheme="minorHAnsi"/>
          <w:noProof/>
          <w:highlight w:val="yellow"/>
          <w:lang w:val="en-US"/>
        </w:rPr>
        <w:drawing>
          <wp:anchor distT="0" distB="0" distL="114300" distR="114300" simplePos="0" relativeHeight="251660288" behindDoc="1" locked="0" layoutInCell="1" allowOverlap="1" wp14:anchorId="3721DF32" wp14:editId="297C5250">
            <wp:simplePos x="0" y="0"/>
            <wp:positionH relativeFrom="column">
              <wp:posOffset>3600450</wp:posOffset>
            </wp:positionH>
            <wp:positionV relativeFrom="paragraph">
              <wp:posOffset>-381000</wp:posOffset>
            </wp:positionV>
            <wp:extent cx="2263810" cy="790575"/>
            <wp:effectExtent l="0" t="0" r="3175" b="0"/>
            <wp:wrapTight wrapText="bothSides">
              <wp:wrapPolygon edited="0">
                <wp:start x="0" y="0"/>
                <wp:lineTo x="0" y="20819"/>
                <wp:lineTo x="21449" y="20819"/>
                <wp:lineTo x="21449" y="0"/>
                <wp:lineTo x="0" y="0"/>
              </wp:wrapPolygon>
            </wp:wrapTight>
            <wp:docPr id="7" name="Picture 7" descr="Une image contenant Police, logo,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ne image contenant Police, logo, Graphique, blanc&#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3810" cy="790575"/>
                    </a:xfrm>
                    <a:prstGeom prst="rect">
                      <a:avLst/>
                    </a:prstGeom>
                    <a:noFill/>
                  </pic:spPr>
                </pic:pic>
              </a:graphicData>
            </a:graphic>
          </wp:anchor>
        </w:drawing>
      </w:r>
    </w:p>
    <w:p w14:paraId="031D4CC3" w14:textId="77777777" w:rsidR="008F62B4" w:rsidRDefault="008F62B4" w:rsidP="008F62B4">
      <w:pPr>
        <w:spacing w:after="0" w:line="280" w:lineRule="atLeast"/>
        <w:jc w:val="both"/>
        <w:rPr>
          <w:rFonts w:asciiTheme="minorHAnsi" w:hAnsiTheme="minorHAnsi" w:cs="Calibri"/>
          <w:b/>
          <w:color w:val="000000"/>
          <w:sz w:val="36"/>
          <w:szCs w:val="40"/>
          <w:lang w:eastAsia="fr-CA"/>
        </w:rPr>
      </w:pPr>
    </w:p>
    <w:p w14:paraId="16169714" w14:textId="77777777" w:rsidR="008F62B4" w:rsidRDefault="008F62B4" w:rsidP="008F62B4">
      <w:pPr>
        <w:spacing w:after="0" w:line="280" w:lineRule="atLeast"/>
        <w:jc w:val="both"/>
        <w:rPr>
          <w:rFonts w:asciiTheme="minorHAnsi" w:hAnsiTheme="minorHAnsi" w:cs="Calibri"/>
          <w:b/>
          <w:color w:val="000000"/>
          <w:sz w:val="36"/>
          <w:szCs w:val="40"/>
          <w:lang w:eastAsia="fr-CA"/>
        </w:rPr>
      </w:pPr>
    </w:p>
    <w:p w14:paraId="7BAEA39F" w14:textId="77777777" w:rsidR="008F62B4" w:rsidRDefault="008F62B4" w:rsidP="008F62B4">
      <w:pPr>
        <w:spacing w:after="0" w:line="280" w:lineRule="atLeast"/>
        <w:jc w:val="both"/>
        <w:rPr>
          <w:rFonts w:asciiTheme="minorHAnsi" w:hAnsiTheme="minorHAnsi" w:cs="Calibri"/>
          <w:b/>
          <w:color w:val="000000"/>
          <w:sz w:val="36"/>
          <w:szCs w:val="40"/>
          <w:lang w:eastAsia="fr-CA"/>
        </w:rPr>
      </w:pPr>
      <w:r w:rsidRPr="00AE1FAB">
        <w:rPr>
          <w:rFonts w:asciiTheme="minorHAnsi" w:hAnsiTheme="minorHAnsi" w:cs="Calibri"/>
          <w:b/>
          <w:color w:val="000000"/>
          <w:sz w:val="36"/>
          <w:szCs w:val="40"/>
          <w:lang w:eastAsia="fr-CA"/>
        </w:rPr>
        <w:lastRenderedPageBreak/>
        <w:t xml:space="preserve">L'enquête sur la </w:t>
      </w:r>
      <w:r>
        <w:rPr>
          <w:rFonts w:asciiTheme="minorHAnsi" w:hAnsiTheme="minorHAnsi" w:cs="Calibri"/>
          <w:b/>
          <w:color w:val="000000"/>
          <w:sz w:val="36"/>
          <w:szCs w:val="40"/>
          <w:lang w:eastAsia="fr-CA"/>
        </w:rPr>
        <w:t>S</w:t>
      </w:r>
      <w:r w:rsidRPr="00AE1FAB">
        <w:rPr>
          <w:rFonts w:asciiTheme="minorHAnsi" w:hAnsiTheme="minorHAnsi" w:cs="Calibri"/>
          <w:b/>
          <w:color w:val="000000"/>
          <w:sz w:val="36"/>
          <w:szCs w:val="40"/>
          <w:lang w:eastAsia="fr-CA"/>
        </w:rPr>
        <w:t xml:space="preserve">anté, les </w:t>
      </w:r>
      <w:r>
        <w:rPr>
          <w:rFonts w:asciiTheme="minorHAnsi" w:hAnsiTheme="minorHAnsi" w:cs="Calibri"/>
          <w:b/>
          <w:color w:val="000000"/>
          <w:sz w:val="36"/>
          <w:szCs w:val="40"/>
          <w:lang w:eastAsia="fr-CA"/>
        </w:rPr>
        <w:t>A</w:t>
      </w:r>
      <w:r w:rsidRPr="00AE1FAB">
        <w:rPr>
          <w:rFonts w:asciiTheme="minorHAnsi" w:hAnsiTheme="minorHAnsi" w:cs="Calibri"/>
          <w:b/>
          <w:color w:val="000000"/>
          <w:sz w:val="36"/>
          <w:szCs w:val="40"/>
          <w:lang w:eastAsia="fr-CA"/>
        </w:rPr>
        <w:t xml:space="preserve">ttitudes et les </w:t>
      </w:r>
      <w:r>
        <w:rPr>
          <w:rFonts w:asciiTheme="minorHAnsi" w:hAnsiTheme="minorHAnsi" w:cs="Calibri"/>
          <w:b/>
          <w:color w:val="000000"/>
          <w:sz w:val="36"/>
          <w:szCs w:val="40"/>
          <w:lang w:eastAsia="fr-CA"/>
        </w:rPr>
        <w:t>C</w:t>
      </w:r>
      <w:r w:rsidRPr="00AE1FAB">
        <w:rPr>
          <w:rFonts w:asciiTheme="minorHAnsi" w:hAnsiTheme="minorHAnsi" w:cs="Calibri"/>
          <w:b/>
          <w:color w:val="000000"/>
          <w:sz w:val="36"/>
          <w:szCs w:val="40"/>
          <w:lang w:eastAsia="fr-CA"/>
        </w:rPr>
        <w:t xml:space="preserve">onnaissances </w:t>
      </w:r>
      <w:r>
        <w:rPr>
          <w:rFonts w:asciiTheme="minorHAnsi" w:hAnsiTheme="minorHAnsi" w:cs="Calibri"/>
          <w:b/>
          <w:color w:val="000000"/>
          <w:sz w:val="36"/>
          <w:szCs w:val="40"/>
          <w:lang w:eastAsia="fr-CA"/>
        </w:rPr>
        <w:t>C</w:t>
      </w:r>
      <w:r w:rsidRPr="00AE1FAB">
        <w:rPr>
          <w:rFonts w:asciiTheme="minorHAnsi" w:hAnsiTheme="minorHAnsi" w:cs="Calibri"/>
          <w:b/>
          <w:color w:val="000000"/>
          <w:sz w:val="36"/>
          <w:szCs w:val="40"/>
          <w:lang w:eastAsia="fr-CA"/>
        </w:rPr>
        <w:t>omportementales (SACC)</w:t>
      </w:r>
    </w:p>
    <w:p w14:paraId="75C7F4EF" w14:textId="77777777" w:rsidR="008F62B4" w:rsidRPr="00C456B8" w:rsidRDefault="008F62B4" w:rsidP="008F62B4">
      <w:pPr>
        <w:spacing w:after="0" w:line="280" w:lineRule="atLeast"/>
        <w:jc w:val="both"/>
        <w:rPr>
          <w:rFonts w:asciiTheme="minorHAnsi" w:hAnsiTheme="minorHAnsi"/>
          <w:b/>
          <w:bCs/>
          <w:highlight w:val="yellow"/>
          <w:lang w:eastAsia="fr-CA"/>
        </w:rPr>
      </w:pPr>
    </w:p>
    <w:p w14:paraId="130C5D81" w14:textId="77777777" w:rsidR="008F62B4" w:rsidRPr="00C456B8" w:rsidRDefault="008F62B4" w:rsidP="008F62B4">
      <w:pPr>
        <w:spacing w:after="0" w:line="280" w:lineRule="atLeast"/>
        <w:jc w:val="both"/>
        <w:rPr>
          <w:rFonts w:asciiTheme="minorHAnsi" w:hAnsiTheme="minorHAnsi"/>
          <w:b/>
          <w:bCs/>
        </w:rPr>
      </w:pPr>
      <w:r w:rsidRPr="00C456B8">
        <w:rPr>
          <w:rFonts w:asciiTheme="minorHAnsi" w:hAnsiTheme="minorHAnsi"/>
          <w:b/>
        </w:rPr>
        <w:t>Rapport méthodologique</w:t>
      </w:r>
    </w:p>
    <w:p w14:paraId="5C6BC7E6" w14:textId="77777777" w:rsidR="008F62B4" w:rsidRPr="00C456B8" w:rsidRDefault="008F62B4" w:rsidP="008F62B4">
      <w:pPr>
        <w:spacing w:after="0" w:line="280" w:lineRule="atLeast"/>
        <w:jc w:val="both"/>
        <w:rPr>
          <w:rFonts w:asciiTheme="minorHAnsi" w:hAnsiTheme="minorHAnsi"/>
          <w:b/>
          <w:bCs/>
        </w:rPr>
      </w:pPr>
      <w:r w:rsidRPr="00C456B8">
        <w:rPr>
          <w:rFonts w:asciiTheme="minorHAnsi" w:hAnsiTheme="minorHAnsi"/>
          <w:b/>
        </w:rPr>
        <w:t>Préparé pour le Bureau du Conseil privé du Canada</w:t>
      </w:r>
    </w:p>
    <w:p w14:paraId="2DE09893" w14:textId="77777777" w:rsidR="008F62B4" w:rsidRPr="00C456B8" w:rsidRDefault="008F62B4" w:rsidP="008F62B4">
      <w:pPr>
        <w:spacing w:after="0" w:line="280" w:lineRule="atLeast"/>
        <w:jc w:val="both"/>
        <w:rPr>
          <w:rFonts w:asciiTheme="minorHAnsi" w:hAnsiTheme="minorHAnsi"/>
          <w:bCs/>
        </w:rPr>
      </w:pPr>
      <w:r w:rsidRPr="00C456B8">
        <w:rPr>
          <w:rFonts w:asciiTheme="minorHAnsi" w:hAnsiTheme="minorHAnsi"/>
        </w:rPr>
        <w:t>Nom du fournisseur : Léger</w:t>
      </w:r>
    </w:p>
    <w:p w14:paraId="1C4A06F6" w14:textId="77777777" w:rsidR="008F62B4" w:rsidRPr="00C456B8" w:rsidRDefault="008F62B4" w:rsidP="008F62B4">
      <w:pPr>
        <w:spacing w:after="0" w:line="280" w:lineRule="atLeast"/>
        <w:jc w:val="both"/>
        <w:rPr>
          <w:rFonts w:asciiTheme="minorHAnsi" w:hAnsiTheme="minorHAnsi"/>
          <w:bCs/>
        </w:rPr>
      </w:pPr>
      <w:r w:rsidRPr="0070207B">
        <w:rPr>
          <w:rFonts w:asciiTheme="minorHAnsi" w:hAnsiTheme="minorHAnsi"/>
        </w:rPr>
        <w:t>Mars 2024</w:t>
      </w:r>
    </w:p>
    <w:p w14:paraId="5EF9D0C0" w14:textId="77777777" w:rsidR="008F62B4" w:rsidRPr="00C456B8" w:rsidRDefault="008F62B4" w:rsidP="008F62B4">
      <w:pPr>
        <w:spacing w:after="0" w:line="280" w:lineRule="atLeast"/>
        <w:jc w:val="both"/>
        <w:rPr>
          <w:rFonts w:asciiTheme="minorHAnsi" w:hAnsiTheme="minorHAnsi"/>
          <w:bCs/>
          <w:lang w:eastAsia="fr-CA"/>
        </w:rPr>
      </w:pPr>
    </w:p>
    <w:p w14:paraId="30CA373C" w14:textId="77777777" w:rsidR="008F62B4" w:rsidRPr="00C456B8" w:rsidRDefault="008F62B4" w:rsidP="008F62B4">
      <w:pPr>
        <w:spacing w:after="0" w:line="280" w:lineRule="atLeast"/>
        <w:jc w:val="both"/>
        <w:rPr>
          <w:rFonts w:asciiTheme="minorHAnsi" w:hAnsiTheme="minorHAnsi"/>
          <w:bCs/>
        </w:rPr>
      </w:pPr>
      <w:r w:rsidRPr="00C456B8">
        <w:rPr>
          <w:rFonts w:asciiTheme="minorHAnsi" w:hAnsiTheme="minorHAnsi"/>
        </w:rPr>
        <w:t xml:space="preserve">Ce rapport méthodologique de recherche sur l’opinion publique présente les aspects techniques d’un sondage en ligne mené par Léger Marketing </w:t>
      </w:r>
      <w:proofErr w:type="spellStart"/>
      <w:r w:rsidRPr="00C456B8">
        <w:rPr>
          <w:rFonts w:asciiTheme="minorHAnsi" w:hAnsiTheme="minorHAnsi"/>
        </w:rPr>
        <w:t>inc.</w:t>
      </w:r>
      <w:proofErr w:type="spellEnd"/>
      <w:r w:rsidRPr="00C456B8">
        <w:rPr>
          <w:rFonts w:asciiTheme="minorHAnsi" w:hAnsiTheme="minorHAnsi"/>
        </w:rPr>
        <w:t xml:space="preserve"> pour le compte du Bureau du Conseil privé du Canada. La recherche a été menée auprès de Canadiens âgés de 18 ans et plus qui pouvaient comprendre le français ou l’anglais et s’exprimer dans l’une ou l’autre de ces langues.</w:t>
      </w:r>
    </w:p>
    <w:p w14:paraId="58B5B856" w14:textId="77777777" w:rsidR="008F62B4" w:rsidRPr="00C456B8" w:rsidRDefault="008F62B4" w:rsidP="008F62B4">
      <w:pPr>
        <w:spacing w:after="0" w:line="280" w:lineRule="atLeast"/>
        <w:jc w:val="both"/>
        <w:rPr>
          <w:rFonts w:asciiTheme="minorHAnsi" w:hAnsiTheme="minorHAnsi"/>
          <w:bCs/>
          <w:lang w:eastAsia="fr-CA"/>
        </w:rPr>
      </w:pPr>
    </w:p>
    <w:p w14:paraId="4E6D9648" w14:textId="77777777" w:rsidR="008F62B4" w:rsidRPr="00F40F8C" w:rsidRDefault="008F62B4" w:rsidP="008F62B4">
      <w:pPr>
        <w:rPr>
          <w:rFonts w:asciiTheme="minorHAnsi" w:hAnsiTheme="minorHAnsi"/>
          <w:lang w:val="en-CA"/>
        </w:rPr>
      </w:pPr>
      <w:r w:rsidRPr="00F40F8C">
        <w:rPr>
          <w:rFonts w:asciiTheme="minorHAnsi" w:hAnsiTheme="minorHAnsi"/>
          <w:lang w:val="en-US"/>
        </w:rPr>
        <w:t xml:space="preserve">This report is also available in English under the name: </w:t>
      </w:r>
      <w:r w:rsidRPr="002C556D">
        <w:rPr>
          <w:rFonts w:asciiTheme="minorHAnsi" w:hAnsiTheme="minorHAnsi"/>
          <w:lang w:val="en-CA"/>
        </w:rPr>
        <w:t>HEALTH, ATTITUDES, AND BEHAVIOURAL INSIGHTS TRACKER (HABIT) SURVEY</w:t>
      </w:r>
    </w:p>
    <w:p w14:paraId="5D2B163B" w14:textId="77777777" w:rsidR="008F62B4" w:rsidRPr="00F40F8C" w:rsidRDefault="008F62B4" w:rsidP="008F62B4">
      <w:pPr>
        <w:spacing w:after="0" w:line="280" w:lineRule="atLeast"/>
        <w:jc w:val="both"/>
        <w:rPr>
          <w:rFonts w:asciiTheme="minorHAnsi" w:hAnsiTheme="minorHAnsi"/>
          <w:bCs/>
          <w:highlight w:val="yellow"/>
          <w:lang w:val="en-US" w:eastAsia="fr-CA"/>
        </w:rPr>
      </w:pPr>
    </w:p>
    <w:p w14:paraId="5900B99D" w14:textId="77777777" w:rsidR="008F62B4" w:rsidRPr="00C456B8" w:rsidRDefault="008F62B4" w:rsidP="008F62B4">
      <w:pPr>
        <w:spacing w:after="0" w:line="280" w:lineRule="atLeast"/>
        <w:jc w:val="both"/>
        <w:rPr>
          <w:rFonts w:asciiTheme="minorHAnsi" w:hAnsiTheme="minorHAnsi"/>
          <w:bCs/>
        </w:rPr>
      </w:pPr>
      <w:r w:rsidRPr="00C456B8">
        <w:rPr>
          <w:rFonts w:asciiTheme="minorHAnsi" w:hAnsiTheme="minorHAnsi"/>
        </w:rPr>
        <w:t xml:space="preserve">Cette publication peut être reproduite à des fins non commerciales uniquement. Une autorisation écrite préalable doit être obtenue auprès du Bureau du Conseil privé. Pour obtenir de plus amples renseignements sur ce rapport, veuillez communiquer avec le Bureau du Conseil privé à </w:t>
      </w:r>
      <w:hyperlink r:id="rId9" w:history="1">
        <w:r w:rsidRPr="00C456B8">
          <w:rPr>
            <w:rStyle w:val="Hyperlink"/>
          </w:rPr>
          <w:t>por-rop</w:t>
        </w:r>
        <w:r w:rsidRPr="00C456B8">
          <w:rPr>
            <w:rStyle w:val="Hyperlink"/>
            <w:rFonts w:asciiTheme="minorHAnsi" w:hAnsiTheme="minorHAnsi"/>
          </w:rPr>
          <w:t>@pco-bcp.gc.ca</w:t>
        </w:r>
      </w:hyperlink>
      <w:r w:rsidRPr="00C456B8">
        <w:rPr>
          <w:rFonts w:asciiTheme="minorHAnsi" w:hAnsiTheme="minorHAnsi"/>
        </w:rPr>
        <w:t xml:space="preserve"> ou à l’adresse</w:t>
      </w:r>
      <w:r>
        <w:rPr>
          <w:rFonts w:asciiTheme="minorHAnsi" w:hAnsiTheme="minorHAnsi"/>
        </w:rPr>
        <w:t> :</w:t>
      </w:r>
    </w:p>
    <w:p w14:paraId="0BDD9042" w14:textId="77777777" w:rsidR="008F62B4" w:rsidRPr="00C456B8" w:rsidRDefault="008F62B4" w:rsidP="008F62B4">
      <w:pPr>
        <w:spacing w:after="0" w:line="280" w:lineRule="atLeast"/>
        <w:ind w:left="1416"/>
        <w:jc w:val="both"/>
        <w:rPr>
          <w:rFonts w:asciiTheme="minorHAnsi" w:hAnsiTheme="minorHAnsi"/>
          <w:bCs/>
          <w:lang w:eastAsia="fr-CA"/>
        </w:rPr>
      </w:pPr>
    </w:p>
    <w:p w14:paraId="4DF3EDBF" w14:textId="77777777" w:rsidR="008F62B4" w:rsidRPr="00C456B8" w:rsidRDefault="008F62B4" w:rsidP="008F62B4">
      <w:pPr>
        <w:spacing w:after="0" w:line="280" w:lineRule="atLeast"/>
        <w:ind w:left="1440"/>
        <w:jc w:val="both"/>
        <w:rPr>
          <w:rFonts w:asciiTheme="minorHAnsi" w:hAnsiTheme="minorHAnsi" w:cs="Arial"/>
        </w:rPr>
      </w:pPr>
      <w:r w:rsidRPr="00C456B8">
        <w:rPr>
          <w:rFonts w:asciiTheme="minorHAnsi" w:hAnsiTheme="minorHAnsi"/>
        </w:rPr>
        <w:t>Bureau du Conseil privé</w:t>
      </w:r>
    </w:p>
    <w:p w14:paraId="21F493F4" w14:textId="77777777" w:rsidR="008F62B4" w:rsidRPr="00C456B8" w:rsidRDefault="008F62B4" w:rsidP="008F62B4">
      <w:pPr>
        <w:spacing w:after="0" w:line="280" w:lineRule="atLeast"/>
        <w:ind w:left="1440"/>
        <w:jc w:val="both"/>
        <w:rPr>
          <w:rFonts w:asciiTheme="minorHAnsi" w:hAnsiTheme="minorHAnsi" w:cs="Arial"/>
        </w:rPr>
      </w:pPr>
      <w:r w:rsidRPr="00C456B8">
        <w:rPr>
          <w:rFonts w:asciiTheme="minorHAnsi" w:hAnsiTheme="minorHAnsi"/>
        </w:rPr>
        <w:t>Édifice Blackburn</w:t>
      </w:r>
    </w:p>
    <w:p w14:paraId="3EDCA9C5" w14:textId="77777777" w:rsidR="008F62B4" w:rsidRPr="00C456B8" w:rsidRDefault="008F62B4" w:rsidP="008F62B4">
      <w:pPr>
        <w:spacing w:after="0" w:line="280" w:lineRule="atLeast"/>
        <w:ind w:left="1440"/>
        <w:jc w:val="both"/>
        <w:rPr>
          <w:rFonts w:asciiTheme="minorHAnsi" w:hAnsiTheme="minorHAnsi" w:cs="Arial"/>
        </w:rPr>
      </w:pPr>
      <w:r w:rsidRPr="00C456B8">
        <w:rPr>
          <w:rFonts w:asciiTheme="minorHAnsi" w:hAnsiTheme="minorHAnsi"/>
        </w:rPr>
        <w:t>Ottawa (</w:t>
      </w:r>
      <w:proofErr w:type="gramStart"/>
      <w:r w:rsidRPr="00C456B8">
        <w:rPr>
          <w:rFonts w:asciiTheme="minorHAnsi" w:hAnsiTheme="minorHAnsi"/>
        </w:rPr>
        <w:t>ON)  K</w:t>
      </w:r>
      <w:proofErr w:type="gramEnd"/>
      <w:r w:rsidRPr="00C456B8">
        <w:rPr>
          <w:rFonts w:asciiTheme="minorHAnsi" w:hAnsiTheme="minorHAnsi"/>
        </w:rPr>
        <w:t>1B 0A3</w:t>
      </w:r>
    </w:p>
    <w:p w14:paraId="3269B1E6" w14:textId="77777777" w:rsidR="008F62B4" w:rsidRPr="00C456B8" w:rsidRDefault="008F62B4" w:rsidP="008F62B4">
      <w:pPr>
        <w:spacing w:after="0" w:line="280" w:lineRule="atLeast"/>
        <w:jc w:val="both"/>
        <w:rPr>
          <w:rFonts w:asciiTheme="minorHAnsi" w:hAnsiTheme="minorHAnsi"/>
          <w:b/>
          <w:bCs/>
          <w:lang w:eastAsia="fr-CA"/>
        </w:rPr>
      </w:pPr>
    </w:p>
    <w:p w14:paraId="1BDA9B66" w14:textId="77777777" w:rsidR="008F62B4" w:rsidRPr="0045315B" w:rsidRDefault="008F62B4" w:rsidP="008F62B4">
      <w:pPr>
        <w:spacing w:after="0"/>
        <w:rPr>
          <w:rFonts w:asciiTheme="minorHAnsi" w:hAnsiTheme="minorHAnsi"/>
          <w:b/>
        </w:rPr>
      </w:pPr>
      <w:r w:rsidRPr="0045315B">
        <w:rPr>
          <w:rFonts w:asciiTheme="minorHAnsi" w:hAnsiTheme="minorHAnsi"/>
          <w:b/>
        </w:rPr>
        <w:t xml:space="preserve">Numéro de catalogue : </w:t>
      </w:r>
    </w:p>
    <w:p w14:paraId="2C885F8A" w14:textId="77777777" w:rsidR="008F62B4" w:rsidRDefault="008F62B4" w:rsidP="008F62B4">
      <w:pPr>
        <w:spacing w:after="0" w:line="280" w:lineRule="atLeast"/>
      </w:pPr>
      <w:r w:rsidRPr="00933D60">
        <w:t>CP22-215/2024F-PDF</w:t>
      </w:r>
    </w:p>
    <w:p w14:paraId="06C5EF8D" w14:textId="77777777" w:rsidR="008F62B4" w:rsidRPr="0045315B" w:rsidRDefault="008F62B4" w:rsidP="008F62B4">
      <w:pPr>
        <w:spacing w:after="0" w:line="280" w:lineRule="atLeast"/>
        <w:rPr>
          <w:rFonts w:asciiTheme="minorHAnsi" w:hAnsiTheme="minorHAnsi"/>
          <w:b/>
          <w:lang w:eastAsia="fr-CA"/>
        </w:rPr>
      </w:pPr>
    </w:p>
    <w:p w14:paraId="7283B376" w14:textId="77777777" w:rsidR="008F62B4" w:rsidRPr="0045315B" w:rsidRDefault="008F62B4" w:rsidP="008F62B4">
      <w:pPr>
        <w:spacing w:after="0"/>
        <w:rPr>
          <w:rFonts w:asciiTheme="minorHAnsi" w:hAnsiTheme="minorHAnsi"/>
          <w:b/>
        </w:rPr>
      </w:pPr>
      <w:r w:rsidRPr="0045315B">
        <w:rPr>
          <w:rFonts w:asciiTheme="minorHAnsi" w:hAnsiTheme="minorHAnsi"/>
          <w:b/>
        </w:rPr>
        <w:t>Numéro international normalisé du livre (ISBN) :</w:t>
      </w:r>
    </w:p>
    <w:p w14:paraId="41889B65" w14:textId="77777777" w:rsidR="008F62B4" w:rsidRPr="0045315B" w:rsidRDefault="008F62B4" w:rsidP="008F62B4">
      <w:pPr>
        <w:spacing w:after="0" w:line="280" w:lineRule="atLeast"/>
        <w:rPr>
          <w:rFonts w:asciiTheme="minorHAnsi" w:hAnsiTheme="minorHAnsi"/>
          <w:b/>
          <w:lang w:eastAsia="fr-CA"/>
        </w:rPr>
      </w:pPr>
      <w:r w:rsidRPr="00933D60">
        <w:t>978-0-660-70915-4</w:t>
      </w:r>
    </w:p>
    <w:p w14:paraId="30BE5054" w14:textId="77777777" w:rsidR="008F62B4" w:rsidRPr="0045315B" w:rsidRDefault="008F62B4" w:rsidP="008F62B4">
      <w:pPr>
        <w:spacing w:after="0" w:line="280" w:lineRule="atLeast"/>
        <w:rPr>
          <w:rFonts w:asciiTheme="minorHAnsi" w:hAnsiTheme="minorHAnsi"/>
          <w:b/>
          <w:lang w:eastAsia="fr-CA"/>
        </w:rPr>
      </w:pPr>
    </w:p>
    <w:p w14:paraId="101C69CE" w14:textId="77777777" w:rsidR="008F62B4" w:rsidRPr="0045315B" w:rsidRDefault="008F62B4" w:rsidP="008F62B4">
      <w:pPr>
        <w:spacing w:after="0" w:line="280" w:lineRule="atLeast"/>
      </w:pPr>
      <w:r w:rsidRPr="0045315B">
        <w:rPr>
          <w:rFonts w:asciiTheme="minorHAnsi" w:hAnsiTheme="minorHAnsi"/>
          <w:b/>
        </w:rPr>
        <w:t>Publications associées (numéro d’enregistrement : POR 030-23) :</w:t>
      </w:r>
      <w:r w:rsidRPr="0045315B">
        <w:t xml:space="preserve"> </w:t>
      </w:r>
    </w:p>
    <w:p w14:paraId="2D13BBA9" w14:textId="77777777" w:rsidR="008F62B4" w:rsidRPr="008F1350" w:rsidRDefault="008F62B4" w:rsidP="008F62B4">
      <w:pPr>
        <w:rPr>
          <w:rStyle w:val="titlefrench0"/>
          <w:lang w:eastAsia="fr-CA"/>
        </w:rPr>
      </w:pPr>
      <w:r w:rsidRPr="0045315B">
        <w:t xml:space="preserve">Numéro de catalogue : </w:t>
      </w:r>
      <w:r w:rsidRPr="008F1350">
        <w:t>CP22-215/2024E-PDF</w:t>
      </w:r>
      <w:r>
        <w:rPr>
          <w:lang w:eastAsia="fr-CA"/>
        </w:rPr>
        <w:br/>
      </w:r>
      <w:r w:rsidRPr="0045315B">
        <w:t>ISBN : 978-0-660-70914-7</w:t>
      </w:r>
    </w:p>
    <w:p w14:paraId="6913023B" w14:textId="77777777" w:rsidR="008F62B4" w:rsidRPr="00C456B8" w:rsidRDefault="008F62B4" w:rsidP="008F62B4">
      <w:pPr>
        <w:spacing w:after="0" w:line="280" w:lineRule="atLeast"/>
        <w:rPr>
          <w:rStyle w:val="titlefrench0"/>
          <w:highlight w:val="yellow"/>
        </w:rPr>
      </w:pPr>
    </w:p>
    <w:p w14:paraId="19498859" w14:textId="77777777" w:rsidR="008F62B4" w:rsidRDefault="008F62B4" w:rsidP="008F62B4">
      <w:pPr>
        <w:spacing w:after="0" w:line="280" w:lineRule="atLeast"/>
        <w:jc w:val="both"/>
        <w:rPr>
          <w:rFonts w:asciiTheme="minorHAnsi" w:hAnsiTheme="minorHAnsi"/>
          <w:color w:val="000000"/>
          <w:highlight w:val="yellow"/>
          <w:lang w:eastAsia="fr-CA"/>
        </w:rPr>
      </w:pPr>
    </w:p>
    <w:p w14:paraId="35007BED" w14:textId="77777777" w:rsidR="008F62B4" w:rsidRDefault="008F62B4" w:rsidP="008F62B4">
      <w:pPr>
        <w:spacing w:after="0" w:line="280" w:lineRule="atLeast"/>
        <w:jc w:val="both"/>
        <w:rPr>
          <w:rFonts w:asciiTheme="minorHAnsi" w:hAnsiTheme="minorHAnsi"/>
          <w:color w:val="000000"/>
          <w:highlight w:val="yellow"/>
          <w:lang w:eastAsia="fr-CA"/>
        </w:rPr>
      </w:pPr>
    </w:p>
    <w:p w14:paraId="6E9EF269" w14:textId="77777777" w:rsidR="008F62B4" w:rsidRPr="00C456B8" w:rsidRDefault="008F62B4" w:rsidP="008F62B4">
      <w:pPr>
        <w:spacing w:after="0" w:line="280" w:lineRule="atLeast"/>
        <w:jc w:val="both"/>
        <w:rPr>
          <w:rFonts w:asciiTheme="minorHAnsi" w:hAnsiTheme="minorHAnsi"/>
          <w:color w:val="000000"/>
          <w:highlight w:val="yellow"/>
          <w:lang w:eastAsia="fr-CA"/>
        </w:rPr>
      </w:pPr>
    </w:p>
    <w:p w14:paraId="452E7F25" w14:textId="55650A35" w:rsidR="008F62B4" w:rsidRPr="00145890" w:rsidRDefault="008F62B4" w:rsidP="00145890">
      <w:pPr>
        <w:pStyle w:val="3Subtitle"/>
        <w:spacing w:line="0" w:lineRule="atLeast"/>
        <w:contextualSpacing/>
        <w:rPr>
          <w:highlight w:val="yellow"/>
        </w:rPr>
      </w:pPr>
      <w:r w:rsidRPr="00C456B8">
        <w:rPr>
          <w:rFonts w:asciiTheme="minorHAnsi" w:hAnsiTheme="minorHAnsi"/>
          <w:sz w:val="22"/>
        </w:rPr>
        <w:t>© Sa Majesté le Roi du chef du Canada, représenté par le ministre de l’Immigration, des Réfugiés et de la Citoyenneté, 202</w:t>
      </w:r>
      <w:r w:rsidRPr="00C456B8">
        <w:rPr>
          <w:noProof/>
          <w:highlight w:val="yellow"/>
        </w:rPr>
        <mc:AlternateContent>
          <mc:Choice Requires="wps">
            <w:drawing>
              <wp:anchor distT="0" distB="0" distL="114300" distR="114300" simplePos="0" relativeHeight="251659264" behindDoc="1" locked="0" layoutInCell="1" allowOverlap="1" wp14:anchorId="216E960A" wp14:editId="2A7EC258">
                <wp:simplePos x="0" y="0"/>
                <wp:positionH relativeFrom="column">
                  <wp:posOffset>0</wp:posOffset>
                </wp:positionH>
                <wp:positionV relativeFrom="paragraph">
                  <wp:posOffset>1421130</wp:posOffset>
                </wp:positionV>
                <wp:extent cx="2565400" cy="1956435"/>
                <wp:effectExtent l="0" t="1905" r="0" b="381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1956435"/>
                        </a:xfrm>
                        <a:prstGeom prst="rect">
                          <a:avLst/>
                        </a:prstGeom>
                        <a:solidFill>
                          <a:srgbClr val="FFFFFF"/>
                        </a:solidFill>
                        <a:ln>
                          <a:noFill/>
                        </a:ln>
                        <a:extLst>
                          <a:ext uri="{91240B29-F687-4F45-9708-019B960494DF}">
                            <a14:hiddenLine xmlns:a14="http://schemas.microsoft.com/office/drawing/2010/main" w="9525">
                              <a:solidFill>
                                <a:srgbClr val="D8D8D8"/>
                              </a:solidFill>
                              <a:miter lim="800000"/>
                              <a:headEnd/>
                              <a:tailEnd/>
                            </a14:hiddenLine>
                          </a:ext>
                        </a:extLst>
                      </wps:spPr>
                      <wps:txbx>
                        <w:txbxContent>
                          <w:p w14:paraId="65A89FC8" w14:textId="77777777" w:rsidR="008F62B4" w:rsidRPr="00B725AC" w:rsidRDefault="008F62B4" w:rsidP="008F62B4">
                            <w:pPr>
                              <w:spacing w:after="0"/>
                              <w:rPr>
                                <w:color w:val="D9D9D9"/>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16E960A" id="Rectangle 13" o:spid="_x0000_s1026" style="position:absolute;margin-left:0;margin-top:111.9pt;width:202pt;height:154.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" stroked="f" strokecolor="#d8d8d8">
                <v:textbox style="mso-fit-shape-to-text:t">
                  <w:txbxContent>
                    <w:p w14:paraId="65A89FC8" w14:textId="77777777" w:rsidR="008F62B4" w:rsidRPr="00B725AC" w:rsidRDefault="008F62B4" w:rsidP="008F62B4">
                      <w:pPr>
                        <w:spacing w:after="0"/>
                        <w:rPr>
                          <w:color w:val="D9D9D9"/>
                        </w:rPr>
                      </w:pPr>
                    </w:p>
                  </w:txbxContent>
                </v:textbox>
              </v:rect>
            </w:pict>
          </mc:Fallback>
        </mc:AlternateContent>
      </w:r>
      <w:r w:rsidRPr="00C456B8">
        <w:rPr>
          <w:rFonts w:asciiTheme="minorHAnsi" w:hAnsiTheme="minorHAnsi"/>
          <w:sz w:val="22"/>
        </w:rPr>
        <w:t>4.</w:t>
      </w:r>
      <w:r w:rsidRPr="00C456B8">
        <w:rPr>
          <w:rFonts w:asciiTheme="minorHAnsi" w:hAnsiTheme="minorHAnsi"/>
        </w:rPr>
        <w:br w:type="page"/>
      </w:r>
    </w:p>
    <w:p w14:paraId="23D09492" w14:textId="77777777" w:rsidR="008F62B4" w:rsidRPr="00C456B8" w:rsidRDefault="008F62B4" w:rsidP="008F62B4">
      <w:pPr>
        <w:pStyle w:val="Heading1"/>
      </w:pPr>
      <w:bookmarkStart w:id="0" w:name="_Toc503266520"/>
      <w:bookmarkStart w:id="1" w:name="_Toc503266565"/>
      <w:bookmarkStart w:id="2" w:name="_Toc503272208"/>
      <w:bookmarkStart w:id="3" w:name="_Toc509836471"/>
      <w:bookmarkStart w:id="4" w:name="_Toc162453325"/>
      <w:r w:rsidRPr="0075406E">
        <w:lastRenderedPageBreak/>
        <w:t>1. Résumé</w:t>
      </w:r>
      <w:bookmarkEnd w:id="0"/>
      <w:bookmarkEnd w:id="1"/>
      <w:bookmarkEnd w:id="2"/>
      <w:bookmarkEnd w:id="3"/>
      <w:bookmarkEnd w:id="4"/>
    </w:p>
    <w:p w14:paraId="13E06E9F" w14:textId="77777777" w:rsidR="008F62B4" w:rsidRPr="00A50E38" w:rsidRDefault="008F62B4" w:rsidP="008F62B4">
      <w:pPr>
        <w:keepNext/>
        <w:spacing w:before="240" w:after="160"/>
        <w:jc w:val="both"/>
        <w:rPr>
          <w:rFonts w:asciiTheme="minorHAnsi" w:eastAsia="Times New Roman" w:hAnsiTheme="minorHAnsi" w:cstheme="minorHAnsi"/>
        </w:rPr>
      </w:pPr>
      <w:r w:rsidRPr="00A50E38">
        <w:rPr>
          <w:rFonts w:asciiTheme="minorHAnsi" w:eastAsia="Times New Roman" w:hAnsiTheme="minorHAnsi" w:cstheme="minorHAnsi"/>
        </w:rPr>
        <w:t xml:space="preserve">Léger est heureuse de présenter au </w:t>
      </w:r>
      <w:bookmarkStart w:id="5" w:name="_Hlk52268065"/>
      <w:r w:rsidRPr="00A50E38">
        <w:rPr>
          <w:rFonts w:asciiTheme="minorHAnsi" w:eastAsia="Times New Roman" w:hAnsiTheme="minorHAnsi" w:cstheme="minorHAnsi"/>
        </w:rPr>
        <w:t>Bureau du Conseil privé</w:t>
      </w:r>
      <w:bookmarkEnd w:id="5"/>
      <w:r w:rsidRPr="00A50E38">
        <w:rPr>
          <w:rFonts w:asciiTheme="minorHAnsi" w:eastAsia="Times New Roman" w:hAnsiTheme="minorHAnsi" w:cstheme="minorHAnsi"/>
        </w:rPr>
        <w:t xml:space="preserve"> du Canada, ainsi qu’au gouvernement du Canada, ce rapport technique décrivant la méthodologie utilisée pour l’étude visant à comprendre l’évolution des croyances, des attitudes et des comportements du public en matière de santé publique.</w:t>
      </w:r>
    </w:p>
    <w:p w14:paraId="24008B7A" w14:textId="77777777" w:rsidR="008F62B4" w:rsidRPr="00974A11" w:rsidRDefault="008F62B4" w:rsidP="008F62B4">
      <w:pPr>
        <w:keepNext/>
        <w:spacing w:before="240" w:after="160"/>
        <w:jc w:val="both"/>
        <w:rPr>
          <w:rFonts w:asciiTheme="minorHAnsi" w:eastAsia="Times New Roman" w:hAnsiTheme="minorHAnsi" w:cstheme="minorHAnsi"/>
          <w:lang w:val="en-CA"/>
        </w:rPr>
      </w:pPr>
      <w:r w:rsidRPr="00A50E38">
        <w:rPr>
          <w:rFonts w:asciiTheme="minorHAnsi" w:eastAsia="Times New Roman" w:hAnsiTheme="minorHAnsi" w:cstheme="minorHAnsi"/>
        </w:rPr>
        <w:t>Ce rapport a été préparé par la firme Léger, qui a été mandatée par le Bureau du Conseil privé (numéro de contrat 35035-23-0995, octroyé le 10 août 2023)</w:t>
      </w:r>
      <w:bookmarkStart w:id="6" w:name="_Toc494979132"/>
      <w:bookmarkStart w:id="7" w:name="_Toc503272209"/>
      <w:bookmarkStart w:id="8" w:name="_Toc509836472"/>
      <w:r w:rsidRPr="00A50E38">
        <w:rPr>
          <w:rFonts w:asciiTheme="minorHAnsi" w:eastAsia="Times New Roman" w:hAnsiTheme="minorHAnsi" w:cstheme="minorHAnsi"/>
        </w:rPr>
        <w:t xml:space="preserve">. </w:t>
      </w:r>
      <w:r w:rsidRPr="00974A11">
        <w:rPr>
          <w:rFonts w:asciiTheme="minorHAnsi" w:eastAsia="Times New Roman" w:hAnsiTheme="minorHAnsi" w:cstheme="minorHAnsi"/>
          <w:lang w:val="en-CA"/>
        </w:rPr>
        <w:t xml:space="preserve">Ce </w:t>
      </w:r>
      <w:proofErr w:type="spellStart"/>
      <w:r w:rsidRPr="00974A11">
        <w:rPr>
          <w:rFonts w:asciiTheme="minorHAnsi" w:eastAsia="Times New Roman" w:hAnsiTheme="minorHAnsi" w:cstheme="minorHAnsi"/>
          <w:lang w:val="en-CA"/>
        </w:rPr>
        <w:t>contrat</w:t>
      </w:r>
      <w:proofErr w:type="spellEnd"/>
      <w:r w:rsidRPr="00974A11">
        <w:rPr>
          <w:rFonts w:asciiTheme="minorHAnsi" w:eastAsia="Times New Roman" w:hAnsiTheme="minorHAnsi" w:cstheme="minorHAnsi"/>
          <w:lang w:val="en-CA"/>
        </w:rPr>
        <w:t xml:space="preserve"> a une </w:t>
      </w:r>
      <w:proofErr w:type="spellStart"/>
      <w:r w:rsidRPr="00974A11">
        <w:rPr>
          <w:rFonts w:asciiTheme="minorHAnsi" w:eastAsia="Times New Roman" w:hAnsiTheme="minorHAnsi" w:cstheme="minorHAnsi"/>
          <w:lang w:val="en-CA"/>
        </w:rPr>
        <w:t>valeur</w:t>
      </w:r>
      <w:proofErr w:type="spellEnd"/>
      <w:r w:rsidRPr="00974A11">
        <w:rPr>
          <w:rFonts w:asciiTheme="minorHAnsi" w:eastAsia="Times New Roman" w:hAnsiTheme="minorHAnsi" w:cstheme="minorHAnsi"/>
          <w:lang w:val="en-CA"/>
        </w:rPr>
        <w:t xml:space="preserve"> de 88 242,00 $ (TVH en sus). </w:t>
      </w:r>
    </w:p>
    <w:p w14:paraId="43F38643" w14:textId="77777777" w:rsidR="008F62B4" w:rsidRPr="00C456B8" w:rsidRDefault="008F62B4" w:rsidP="008F62B4">
      <w:pPr>
        <w:pStyle w:val="Heading2"/>
        <w:numPr>
          <w:ilvl w:val="1"/>
          <w:numId w:val="1"/>
        </w:numPr>
        <w:tabs>
          <w:tab w:val="num" w:pos="360"/>
        </w:tabs>
        <w:ind w:left="0" w:firstLine="0"/>
      </w:pPr>
      <w:bookmarkStart w:id="9" w:name="_Toc162453326"/>
      <w:r w:rsidRPr="00C456B8">
        <w:t>Contexte, objectifs et</w:t>
      </w:r>
      <w:bookmarkEnd w:id="6"/>
      <w:bookmarkEnd w:id="7"/>
      <w:bookmarkEnd w:id="8"/>
      <w:r w:rsidRPr="00C456B8">
        <w:t xml:space="preserve"> méthodologie</w:t>
      </w:r>
      <w:bookmarkEnd w:id="9"/>
      <w:r w:rsidRPr="00C456B8">
        <w:t xml:space="preserve"> </w:t>
      </w:r>
    </w:p>
    <w:p w14:paraId="707281FE" w14:textId="77777777" w:rsidR="008F62B4" w:rsidRPr="00C456B8" w:rsidRDefault="008F62B4" w:rsidP="008F62B4">
      <w:pPr>
        <w:pStyle w:val="Heading2"/>
      </w:pPr>
      <w:bookmarkStart w:id="10" w:name="_Toc157678866"/>
      <w:bookmarkStart w:id="11" w:name="_Toc162453327"/>
      <w:r w:rsidRPr="00C456B8">
        <w:t>Contexte</w:t>
      </w:r>
      <w:bookmarkEnd w:id="10"/>
      <w:bookmarkEnd w:id="11"/>
    </w:p>
    <w:p w14:paraId="73F1DC50" w14:textId="77777777" w:rsidR="008F62B4" w:rsidRPr="00C456B8" w:rsidRDefault="008F62B4" w:rsidP="008F62B4">
      <w:pPr>
        <w:keepNext/>
        <w:spacing w:before="240" w:after="160"/>
        <w:jc w:val="both"/>
        <w:rPr>
          <w:rFonts w:asciiTheme="minorHAnsi" w:eastAsia="Times New Roman" w:hAnsiTheme="minorHAnsi" w:cstheme="minorHAnsi"/>
        </w:rPr>
      </w:pPr>
      <w:r w:rsidRPr="00C456B8">
        <w:rPr>
          <w:rFonts w:asciiTheme="minorHAnsi" w:hAnsiTheme="minorHAnsi"/>
        </w:rPr>
        <w:t>En partenariat avec l’Agence de santé publique du Canada (ASPC), le Bureau du Conseil privé (BCP) a besoin d’une collecte et d’une analyse continues de données quantitatives pour comprendre en temps réel l’évolution des croyances, des attitudes et des comportements des Canadiens en matière de santé publique.</w:t>
      </w:r>
    </w:p>
    <w:p w14:paraId="209DF0C3" w14:textId="77777777" w:rsidR="008F62B4" w:rsidRPr="00C456B8" w:rsidRDefault="008F62B4" w:rsidP="008F62B4">
      <w:pPr>
        <w:keepNext/>
        <w:spacing w:before="240" w:after="160"/>
        <w:jc w:val="both"/>
        <w:rPr>
          <w:rFonts w:asciiTheme="minorHAnsi" w:eastAsia="Times New Roman" w:hAnsiTheme="minorHAnsi" w:cstheme="minorHAnsi"/>
        </w:rPr>
      </w:pPr>
      <w:r w:rsidRPr="00C456B8">
        <w:rPr>
          <w:rFonts w:asciiTheme="minorHAnsi" w:hAnsiTheme="minorHAnsi"/>
        </w:rPr>
        <w:t>Comme énoncé dans le budget 2023-2024, le gouvernement fédéral s’engage à soutenir la santé des personnes vivant au Canada, ainsi que le système de soins de santé dans les provinces et les territoires, afin de promouvoir la santé, de prévenir les maladies et de permettre une meilleure prestation des programmes et des services.</w:t>
      </w:r>
    </w:p>
    <w:p w14:paraId="662A1A84" w14:textId="77777777" w:rsidR="008F62B4" w:rsidRPr="00C456B8" w:rsidRDefault="008F62B4" w:rsidP="008F62B4">
      <w:pPr>
        <w:keepNext/>
        <w:spacing w:before="240" w:after="160"/>
        <w:jc w:val="both"/>
        <w:rPr>
          <w:rFonts w:asciiTheme="minorHAnsi" w:eastAsia="Times New Roman" w:hAnsiTheme="minorHAnsi" w:cstheme="minorHAnsi"/>
        </w:rPr>
      </w:pPr>
      <w:r w:rsidRPr="00C456B8">
        <w:rPr>
          <w:rFonts w:asciiTheme="minorHAnsi" w:hAnsiTheme="minorHAnsi"/>
        </w:rPr>
        <w:t>En partenariat continu avec l’ASPC, l’Unité des enquêtes indépendantes a proposé de lancer une série de trois enquêtes de recherche fondées sur la population afin d’examiner une série de sujets au cœur des priorités en santé du gouvernement du Canada. L’enquête visait à faire un suivi important de l’évolution du contexte sanitaire national au cours de l’automne et de l’hiver et d’établir des données de référence pour les questions de santé publique nouvelles et émergentes, puis d’analyser les principaux facteurs de prédiction des résultats en matière de santé et les différences de ces résultats entre les différents groupes de la population, ainsi que de suivre l’évolution au fil du temps.</w:t>
      </w:r>
    </w:p>
    <w:p w14:paraId="78482433" w14:textId="77777777" w:rsidR="008F62B4" w:rsidRPr="00C456B8" w:rsidRDefault="008F62B4" w:rsidP="008F62B4">
      <w:pPr>
        <w:pStyle w:val="Heading2"/>
        <w:jc w:val="both"/>
      </w:pPr>
      <w:bookmarkStart w:id="12" w:name="_Toc157678867"/>
      <w:bookmarkStart w:id="13" w:name="_Toc162453328"/>
      <w:r w:rsidRPr="00C456B8">
        <w:t>Objectifs</w:t>
      </w:r>
      <w:bookmarkEnd w:id="12"/>
      <w:bookmarkEnd w:id="13"/>
    </w:p>
    <w:p w14:paraId="02A1A81A" w14:textId="77777777" w:rsidR="008F62B4" w:rsidRPr="00C456B8" w:rsidRDefault="008F62B4" w:rsidP="008F62B4">
      <w:pPr>
        <w:keepNext/>
        <w:spacing w:before="240" w:after="160"/>
        <w:jc w:val="both"/>
        <w:rPr>
          <w:rFonts w:asciiTheme="minorHAnsi" w:eastAsia="Times New Roman" w:hAnsiTheme="minorHAnsi" w:cstheme="minorHAnsi"/>
        </w:rPr>
      </w:pPr>
      <w:r w:rsidRPr="00C456B8">
        <w:rPr>
          <w:rFonts w:asciiTheme="minorHAnsi" w:hAnsiTheme="minorHAnsi"/>
        </w:rPr>
        <w:t xml:space="preserve">L’objectif de l’enquête était d’offrir une infrastructure souple permettant de fournir rapidement des observations sur des sujets émergents présentant une valeur opportune pour l’ASPC, au fur et à mesure qu’ils se présentent, ainsi que des produits d’application des connaissances et des recommandations sur de grands dossiers prioritaires. L’accès permanent à cette plateforme ainsi qu’aux conseils rapides qui en </w:t>
      </w:r>
      <w:r w:rsidRPr="00C456B8">
        <w:rPr>
          <w:rFonts w:asciiTheme="minorHAnsi" w:hAnsiTheme="minorHAnsi"/>
        </w:rPr>
        <w:lastRenderedPageBreak/>
        <w:t>découlent continuera à soutenir l’ASPC en tant qu’organisation de santé publique de premier plan et axée sur les données.</w:t>
      </w:r>
    </w:p>
    <w:p w14:paraId="0EBA8C65" w14:textId="77777777" w:rsidR="008F62B4" w:rsidRPr="00974A11" w:rsidRDefault="008F62B4" w:rsidP="008F62B4">
      <w:pPr>
        <w:keepNext/>
        <w:spacing w:before="240" w:after="160"/>
        <w:jc w:val="both"/>
        <w:rPr>
          <w:rFonts w:asciiTheme="minorHAnsi" w:hAnsiTheme="minorHAnsi"/>
        </w:rPr>
      </w:pPr>
      <w:r w:rsidRPr="00C456B8">
        <w:rPr>
          <w:rFonts w:asciiTheme="minorHAnsi" w:hAnsiTheme="minorHAnsi"/>
        </w:rPr>
        <w:t>Les observations tirées de cette étude quantitative permettront au gouvernement du Canada d’élaborer et de perfectionner les politiques, la mise en œuvre des programmes et les stratégies de communication afin d’atteindre ses objectifs en matière d’amélioration de la santé et du bien-être des Canadiens.</w:t>
      </w:r>
    </w:p>
    <w:p w14:paraId="25A8B2D9" w14:textId="77777777" w:rsidR="008F62B4" w:rsidRPr="00C33A1F" w:rsidRDefault="008F62B4" w:rsidP="008F62B4">
      <w:pPr>
        <w:pStyle w:val="Heading2"/>
        <w:numPr>
          <w:ilvl w:val="1"/>
          <w:numId w:val="1"/>
        </w:numPr>
        <w:tabs>
          <w:tab w:val="num" w:pos="360"/>
        </w:tabs>
        <w:ind w:left="0" w:firstLine="0"/>
      </w:pPr>
      <w:bookmarkStart w:id="14" w:name="_Toc36538073"/>
      <w:bookmarkStart w:id="15" w:name="_Toc162453329"/>
      <w:r w:rsidRPr="00C456B8">
        <w:t>Remarques sur l’interprétation des conclusions</w:t>
      </w:r>
      <w:bookmarkEnd w:id="14"/>
      <w:bookmarkEnd w:id="15"/>
    </w:p>
    <w:p w14:paraId="53E1E322" w14:textId="77777777" w:rsidR="008F62B4" w:rsidRPr="00974A11" w:rsidRDefault="008F62B4" w:rsidP="008F62B4">
      <w:pPr>
        <w:keepNext/>
        <w:spacing w:before="240" w:after="160"/>
        <w:jc w:val="both"/>
        <w:rPr>
          <w:rFonts w:asciiTheme="minorHAnsi" w:hAnsiTheme="minorHAnsi"/>
        </w:rPr>
      </w:pPr>
      <w:r w:rsidRPr="00974A11">
        <w:rPr>
          <w:rFonts w:asciiTheme="minorHAnsi" w:hAnsiTheme="minorHAnsi"/>
        </w:rPr>
        <w:t>Les répondants ont été sélectionnés de façon aléatoire parmi les membres de notre panel (LEO) qui ont été recrutés selon une méthodologie probabiliste. Bien que le panel de LEO se veut représentatif de la population canadienne, il n’est pas probabiliste; les résultats ne peuvent pas être déduits de la population générale du Canada, car les répondants sont sélectionnés parmi ceux qui se sont portés volontaires pour y répondre ou qui se sont inscrits pour répondre à des enquêtes en ligne.</w:t>
      </w:r>
    </w:p>
    <w:p w14:paraId="1BD360F3" w14:textId="77777777" w:rsidR="008F62B4" w:rsidRPr="00974A11" w:rsidRDefault="008F62B4" w:rsidP="008F62B4">
      <w:pPr>
        <w:keepNext/>
        <w:spacing w:before="240" w:after="160"/>
        <w:jc w:val="both"/>
        <w:rPr>
          <w:rFonts w:asciiTheme="minorHAnsi" w:hAnsiTheme="minorHAnsi"/>
        </w:rPr>
      </w:pPr>
      <w:r w:rsidRPr="00974A11">
        <w:rPr>
          <w:rFonts w:asciiTheme="minorHAnsi" w:hAnsiTheme="minorHAnsi"/>
        </w:rPr>
        <w:t xml:space="preserve">Les répondants ont été sélectionnés au hasard parmi les panélistes de LEO qui ont été recrutés à l’aide d’une méthodologie probabiliste, ce qui garantit que l’échantillon </w:t>
      </w:r>
      <w:proofErr w:type="gramStart"/>
      <w:r w:rsidRPr="00974A11">
        <w:rPr>
          <w:rFonts w:asciiTheme="minorHAnsi" w:hAnsiTheme="minorHAnsi"/>
        </w:rPr>
        <w:t>dresse</w:t>
      </w:r>
      <w:proofErr w:type="gramEnd"/>
      <w:r w:rsidRPr="00974A11">
        <w:rPr>
          <w:rFonts w:asciiTheme="minorHAnsi" w:hAnsiTheme="minorHAnsi"/>
        </w:rPr>
        <w:t xml:space="preserve"> un portrait assez fidèle de la population réelle du Canada. Les marges d’erreur d’échantillonnage ne peuvent pas être calculées pour les sondages utilisant un échantillon tiré d’un panel d’Internet. Toutefois, à des fins de comparaison, la marge d’erreur d’un échantillon probabiliste de 2 000 Canadiens est d’environ 2,19 %, 19 fois sur 20.</w:t>
      </w:r>
    </w:p>
    <w:p w14:paraId="173B1CB4" w14:textId="77777777" w:rsidR="008F62B4" w:rsidRPr="00974A11" w:rsidRDefault="008F62B4" w:rsidP="008F62B4">
      <w:pPr>
        <w:keepNext/>
        <w:spacing w:before="240" w:after="160"/>
        <w:jc w:val="both"/>
        <w:rPr>
          <w:rFonts w:asciiTheme="minorHAnsi" w:hAnsiTheme="minorHAnsi"/>
        </w:rPr>
      </w:pPr>
      <w:r w:rsidRPr="00974A11">
        <w:rPr>
          <w:rFonts w:asciiTheme="minorHAnsi" w:hAnsiTheme="minorHAnsi"/>
        </w:rPr>
        <w:t>Les données ont fait l’objet d’une pondération afin de représenter la composition démographique de la population cible. Des renseignements supplémentaires sur le processus de pondération sont présentés à l’annexe A.1.</w:t>
      </w:r>
    </w:p>
    <w:p w14:paraId="51C8D15F" w14:textId="77777777" w:rsidR="008F62B4" w:rsidRPr="00C456B8" w:rsidRDefault="008F62B4" w:rsidP="008F62B4">
      <w:pPr>
        <w:pStyle w:val="Heading2"/>
        <w:rPr>
          <w:caps/>
        </w:rPr>
      </w:pPr>
      <w:bookmarkStart w:id="16" w:name="_Toc36538074"/>
      <w:bookmarkStart w:id="17" w:name="_Toc162453330"/>
      <w:r w:rsidRPr="00C456B8">
        <w:t>1.3</w:t>
      </w:r>
      <w:r w:rsidRPr="00C456B8">
        <w:tab/>
        <w:t>Déclaration de neutralité politique et coordonnées</w:t>
      </w:r>
      <w:bookmarkEnd w:id="16"/>
      <w:bookmarkEnd w:id="17"/>
    </w:p>
    <w:p w14:paraId="20151B41" w14:textId="77777777" w:rsidR="008F62B4" w:rsidRPr="00C456B8" w:rsidRDefault="008F62B4" w:rsidP="008F62B4">
      <w:pPr>
        <w:jc w:val="both"/>
      </w:pPr>
      <w:r>
        <w:rPr>
          <w:rFonts w:asciiTheme="minorHAnsi" w:hAnsiTheme="minorHAnsi"/>
        </w:rPr>
        <w:br/>
      </w:r>
      <w:r w:rsidRPr="00974A11">
        <w:rPr>
          <w:rFonts w:asciiTheme="minorHAnsi" w:hAnsiTheme="minorHAnsi"/>
        </w:rPr>
        <w:t>J’atteste, par les présentes, à titre d’agent principal de Léger, l’entière conformité</w:t>
      </w:r>
      <w:r w:rsidRPr="00C456B8">
        <w:t xml:space="preserve"> des produits livrables relativement aux exigences en matière de neutralité de la </w:t>
      </w:r>
      <w:hyperlink r:id="rId10">
        <w:r w:rsidRPr="00C456B8">
          <w:rPr>
            <w:i/>
            <w:color w:val="7834BC"/>
            <w:u w:val="single"/>
            <w:shd w:val="clear" w:color="auto" w:fill="F9F9F9"/>
          </w:rPr>
          <w:t>Politique sur les communications et l’image de marque</w:t>
        </w:r>
      </w:hyperlink>
      <w:r w:rsidRPr="00C456B8">
        <w:t xml:space="preserve"> et de la </w:t>
      </w:r>
      <w:hyperlink r:id="rId11">
        <w:r w:rsidRPr="00C456B8">
          <w:rPr>
            <w:color w:val="7834BC"/>
            <w:u w:val="single"/>
            <w:shd w:val="clear" w:color="auto" w:fill="F9F9F9"/>
          </w:rPr>
          <w:t>Directive sur la gestion des communications </w:t>
        </w:r>
        <w:r>
          <w:rPr>
            <w:color w:val="7834BC"/>
            <w:u w:val="single"/>
            <w:shd w:val="clear" w:color="auto" w:fill="F9F9F9"/>
          </w:rPr>
          <w:t xml:space="preserve">– </w:t>
        </w:r>
        <w:r w:rsidRPr="00C456B8">
          <w:rPr>
            <w:color w:val="7834BC"/>
            <w:u w:val="single"/>
            <w:shd w:val="clear" w:color="auto" w:fill="F9F9F9"/>
          </w:rPr>
          <w:t>Annexe C</w:t>
        </w:r>
      </w:hyperlink>
      <w:r w:rsidRPr="00C456B8">
        <w:t xml:space="preserve"> (Annexe C : Procédure obligatoire relative à la recherche sur l’opinion publique).</w:t>
      </w:r>
    </w:p>
    <w:p w14:paraId="64C35C1C" w14:textId="77777777" w:rsidR="008F62B4" w:rsidRPr="00C456B8" w:rsidRDefault="008F62B4" w:rsidP="008F62B4">
      <w:pPr>
        <w:jc w:val="both"/>
      </w:pPr>
      <w:r w:rsidRPr="00C456B8">
        <w:t>Plus précisément, les livrables ne comprennent pas de renseignements sur les intentions de vote électoral, les préférences quant aux partis politiques ou les positions des partis ni sur l’évaluation de la performance d’un parti politique ou de ses dirigeants.</w:t>
      </w:r>
    </w:p>
    <w:p w14:paraId="35B193A9" w14:textId="77777777" w:rsidR="008F62B4" w:rsidRPr="00C456B8" w:rsidRDefault="008F62B4" w:rsidP="008F62B4">
      <w:pPr>
        <w:keepNext/>
        <w:jc w:val="both"/>
        <w:rPr>
          <w:noProof/>
        </w:rPr>
      </w:pPr>
      <w:r w:rsidRPr="00C456B8">
        <w:lastRenderedPageBreak/>
        <w:t>Signé par : </w:t>
      </w:r>
    </w:p>
    <w:p w14:paraId="787A8D0A" w14:textId="77777777" w:rsidR="008F62B4" w:rsidRPr="00C456B8" w:rsidRDefault="008F62B4" w:rsidP="008F62B4">
      <w:pPr>
        <w:keepNext/>
        <w:spacing w:after="0" w:line="240" w:lineRule="auto"/>
        <w:jc w:val="both"/>
        <w:rPr>
          <w:noProof/>
        </w:rPr>
      </w:pPr>
      <w:r w:rsidRPr="00C456B8">
        <w:rPr>
          <w:noProof/>
        </w:rPr>
        <w:drawing>
          <wp:inline distT="0" distB="0" distL="0" distR="0" wp14:anchorId="5BF27319" wp14:editId="7F366AB5">
            <wp:extent cx="1487804"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499888" cy="528130"/>
                    </a:xfrm>
                    <a:prstGeom prst="rect">
                      <a:avLst/>
                    </a:prstGeom>
                    <a:noFill/>
                    <a:ln>
                      <a:noFill/>
                    </a:ln>
                  </pic:spPr>
                </pic:pic>
              </a:graphicData>
            </a:graphic>
          </wp:inline>
        </w:drawing>
      </w:r>
    </w:p>
    <w:p w14:paraId="10819FE3" w14:textId="77777777" w:rsidR="008F62B4" w:rsidRPr="00C456B8" w:rsidRDefault="008F62B4" w:rsidP="008F62B4">
      <w:pPr>
        <w:keepNext/>
        <w:spacing w:after="0" w:line="240" w:lineRule="auto"/>
        <w:jc w:val="both"/>
        <w:rPr>
          <w:noProof/>
        </w:rPr>
      </w:pPr>
      <w:r w:rsidRPr="00C456B8">
        <w:t>Christian Bourque</w:t>
      </w:r>
    </w:p>
    <w:p w14:paraId="57DF86A1" w14:textId="77777777" w:rsidR="008F62B4" w:rsidRPr="00C456B8" w:rsidRDefault="008F62B4" w:rsidP="008F62B4">
      <w:pPr>
        <w:keepNext/>
        <w:spacing w:after="0" w:line="240" w:lineRule="auto"/>
        <w:jc w:val="both"/>
        <w:rPr>
          <w:noProof/>
        </w:rPr>
      </w:pPr>
      <w:r w:rsidRPr="00C456B8">
        <w:t>Vice-président directeur et associé</w:t>
      </w:r>
    </w:p>
    <w:p w14:paraId="353CAD0C" w14:textId="77777777" w:rsidR="008F62B4" w:rsidRPr="00C456B8" w:rsidRDefault="008F62B4" w:rsidP="008F62B4">
      <w:pPr>
        <w:keepNext/>
        <w:spacing w:after="0" w:line="240" w:lineRule="auto"/>
        <w:jc w:val="both"/>
        <w:rPr>
          <w:noProof/>
        </w:rPr>
      </w:pPr>
      <w:r w:rsidRPr="00C456B8">
        <w:t>Léger</w:t>
      </w:r>
    </w:p>
    <w:p w14:paraId="73C78809" w14:textId="77777777" w:rsidR="008F62B4" w:rsidRPr="00C456B8" w:rsidRDefault="008F62B4" w:rsidP="008F62B4">
      <w:pPr>
        <w:keepNext/>
        <w:spacing w:after="0" w:line="240" w:lineRule="auto"/>
        <w:jc w:val="both"/>
        <w:rPr>
          <w:noProof/>
        </w:rPr>
      </w:pPr>
      <w:r w:rsidRPr="00C456B8">
        <w:t>507, Place d’Armes, bureau 700</w:t>
      </w:r>
    </w:p>
    <w:p w14:paraId="48BAC9F0" w14:textId="77777777" w:rsidR="008F62B4" w:rsidRPr="00C456B8" w:rsidRDefault="008F62B4" w:rsidP="008F62B4">
      <w:pPr>
        <w:keepNext/>
        <w:spacing w:after="0" w:line="240" w:lineRule="auto"/>
        <w:jc w:val="both"/>
        <w:rPr>
          <w:noProof/>
        </w:rPr>
      </w:pPr>
      <w:r w:rsidRPr="00C456B8">
        <w:t>Montréal, Québec</w:t>
      </w:r>
    </w:p>
    <w:p w14:paraId="40E1E204" w14:textId="77777777" w:rsidR="008F62B4" w:rsidRPr="00C456B8" w:rsidRDefault="008F62B4" w:rsidP="008F62B4">
      <w:pPr>
        <w:keepNext/>
        <w:spacing w:after="0" w:line="240" w:lineRule="auto"/>
        <w:jc w:val="both"/>
      </w:pPr>
      <w:r w:rsidRPr="00C456B8">
        <w:t>H2Y 2W8</w:t>
      </w:r>
    </w:p>
    <w:p w14:paraId="34A88786" w14:textId="77777777" w:rsidR="008F62B4" w:rsidRPr="00C456B8" w:rsidRDefault="00792BA2" w:rsidP="008F62B4">
      <w:pPr>
        <w:keepNext/>
        <w:spacing w:after="0" w:line="240" w:lineRule="auto"/>
        <w:jc w:val="both"/>
      </w:pPr>
      <w:hyperlink r:id="rId13" w:history="1">
        <w:r w:rsidR="008F62B4" w:rsidRPr="00C456B8">
          <w:rPr>
            <w:rStyle w:val="Hyperlink"/>
          </w:rPr>
          <w:t>cbourque@leger360.com</w:t>
        </w:r>
      </w:hyperlink>
    </w:p>
    <w:p w14:paraId="4063F1E0" w14:textId="77777777" w:rsidR="008F62B4" w:rsidRPr="00C456B8" w:rsidRDefault="008F62B4" w:rsidP="008F62B4">
      <w:pPr>
        <w:autoSpaceDE w:val="0"/>
        <w:autoSpaceDN w:val="0"/>
        <w:adjustRightInd w:val="0"/>
        <w:spacing w:after="216" w:line="270" w:lineRule="atLeast"/>
        <w:contextualSpacing/>
        <w:jc w:val="both"/>
        <w:rPr>
          <w:rFonts w:asciiTheme="minorHAnsi" w:eastAsia="Times New Roman" w:hAnsiTheme="minorHAnsi" w:cstheme="minorHAnsi"/>
          <w:sz w:val="24"/>
          <w:szCs w:val="24"/>
        </w:rPr>
      </w:pPr>
    </w:p>
    <w:p w14:paraId="5543022E" w14:textId="77777777" w:rsidR="008F62B4" w:rsidRPr="00C456B8" w:rsidRDefault="008F62B4" w:rsidP="008F62B4">
      <w:pPr>
        <w:spacing w:after="0" w:line="240" w:lineRule="auto"/>
        <w:rPr>
          <w:rFonts w:ascii="Cambria" w:eastAsia="Times New Roman" w:hAnsi="Cambria"/>
          <w:b/>
          <w:bCs/>
          <w:i/>
          <w:iCs/>
          <w:sz w:val="28"/>
          <w:szCs w:val="28"/>
        </w:rPr>
      </w:pPr>
      <w:bookmarkStart w:id="18" w:name="_Toc494979133"/>
      <w:bookmarkStart w:id="19" w:name="_Toc503272210"/>
      <w:bookmarkStart w:id="20" w:name="_Toc509836473"/>
      <w:r w:rsidRPr="00C456B8">
        <w:br w:type="page"/>
      </w:r>
    </w:p>
    <w:p w14:paraId="06B77675" w14:textId="77777777" w:rsidR="008F62B4" w:rsidRPr="00C456B8" w:rsidRDefault="008F62B4" w:rsidP="008F62B4">
      <w:pPr>
        <w:pStyle w:val="Heading2"/>
      </w:pPr>
      <w:bookmarkStart w:id="21" w:name="_Toc162453331"/>
      <w:r w:rsidRPr="00C456B8">
        <w:lastRenderedPageBreak/>
        <w:t>1.4</w:t>
      </w:r>
      <w:r w:rsidRPr="00C456B8">
        <w:tab/>
        <w:t>Méthodologie</w:t>
      </w:r>
      <w:bookmarkEnd w:id="21"/>
      <w:r w:rsidRPr="00C456B8">
        <w:t xml:space="preserve"> </w:t>
      </w:r>
      <w:bookmarkEnd w:id="18"/>
      <w:bookmarkEnd w:id="19"/>
      <w:bookmarkEnd w:id="20"/>
    </w:p>
    <w:p w14:paraId="47480E84" w14:textId="77777777" w:rsidR="008F62B4" w:rsidRPr="00284B6A" w:rsidRDefault="008F62B4" w:rsidP="008F62B4">
      <w:pPr>
        <w:keepNext/>
        <w:spacing w:before="240" w:after="160"/>
        <w:jc w:val="both"/>
        <w:rPr>
          <w:rFonts w:asciiTheme="minorHAnsi" w:hAnsiTheme="minorHAnsi"/>
        </w:rPr>
      </w:pPr>
      <w:r w:rsidRPr="00284B6A">
        <w:rPr>
          <w:rFonts w:asciiTheme="minorHAnsi" w:hAnsiTheme="minorHAnsi"/>
        </w:rPr>
        <w:t>Les données ont été recueillies en ligne par l’entremise de trois enquêtes ponctuelles répétées auprès d’échantillons nationaux représentatifs d’adultes canadiens</w:t>
      </w:r>
      <w:r w:rsidRPr="00C456B8">
        <w:rPr>
          <w:rFonts w:asciiTheme="minorHAnsi" w:hAnsiTheme="minorHAnsi"/>
        </w:rPr>
        <w:t xml:space="preserve"> </w:t>
      </w:r>
      <w:r w:rsidRPr="00284B6A">
        <w:rPr>
          <w:rFonts w:asciiTheme="minorHAnsi" w:hAnsiTheme="minorHAnsi"/>
        </w:rPr>
        <w:t xml:space="preserve">(âgés de 18 ans et plus). L’échantillon comprenait des citoyens canadiens et des résidents permanents. Trente-cinq pour cent (35 %) du </w:t>
      </w:r>
      <w:r w:rsidRPr="00C456B8">
        <w:rPr>
          <w:rFonts w:asciiTheme="minorHAnsi" w:hAnsiTheme="minorHAnsi"/>
        </w:rPr>
        <w:t>contenu de l’</w:t>
      </w:r>
      <w:r w:rsidRPr="00284B6A">
        <w:rPr>
          <w:rFonts w:asciiTheme="minorHAnsi" w:hAnsiTheme="minorHAnsi"/>
        </w:rPr>
        <w:t xml:space="preserve">enquête </w:t>
      </w:r>
      <w:r w:rsidRPr="00C456B8">
        <w:rPr>
          <w:rFonts w:asciiTheme="minorHAnsi" w:hAnsiTheme="minorHAnsi"/>
        </w:rPr>
        <w:t>est resté le même pour toutes les vagues.</w:t>
      </w:r>
    </w:p>
    <w:p w14:paraId="3261B7A5" w14:textId="77777777" w:rsidR="008F62B4" w:rsidRPr="00284B6A" w:rsidRDefault="008F62B4" w:rsidP="008F62B4">
      <w:pPr>
        <w:keepNext/>
        <w:spacing w:before="240" w:after="160"/>
        <w:jc w:val="both"/>
        <w:rPr>
          <w:rFonts w:asciiTheme="minorHAnsi" w:hAnsiTheme="minorHAnsi"/>
        </w:rPr>
      </w:pPr>
      <w:r w:rsidRPr="00284B6A">
        <w:rPr>
          <w:rFonts w:asciiTheme="minorHAnsi" w:hAnsiTheme="minorHAnsi"/>
        </w:rPr>
        <w:t>L’échantillon ciblé était composé d’adultes vivant au Canada, âgés de 18 ans et plus. Il visait une bonne représentation selon le genre, l’âge et la région, en fonction des données du recensement de 2021.</w:t>
      </w:r>
    </w:p>
    <w:p w14:paraId="69CEF8AD" w14:textId="77777777" w:rsidR="008F62B4" w:rsidRPr="00C456B8" w:rsidRDefault="008F62B4" w:rsidP="008F62B4">
      <w:pPr>
        <w:keepNext/>
        <w:spacing w:before="240" w:after="160"/>
        <w:jc w:val="both"/>
        <w:rPr>
          <w:rFonts w:asciiTheme="minorHAnsi" w:eastAsia="Arial" w:hAnsiTheme="minorHAnsi" w:cs="Arial"/>
          <w:bCs/>
          <w:lang w:eastAsia="fr-CA"/>
        </w:rPr>
      </w:pPr>
      <w:r w:rsidRPr="00C456B8">
        <w:rPr>
          <w:rFonts w:asciiTheme="minorHAnsi" w:hAnsiTheme="minorHAnsi"/>
        </w:rPr>
        <w:t>L’échantillon de la première vague était composé de 1 800 répondants de la population générale</w:t>
      </w:r>
      <w:r>
        <w:rPr>
          <w:rFonts w:asciiTheme="minorHAnsi" w:hAnsiTheme="minorHAnsi"/>
        </w:rPr>
        <w:t xml:space="preserve"> et d’</w:t>
      </w:r>
      <w:r w:rsidRPr="00C456B8">
        <w:rPr>
          <w:rFonts w:asciiTheme="minorHAnsi" w:hAnsiTheme="minorHAnsi"/>
        </w:rPr>
        <w:t xml:space="preserve">un </w:t>
      </w:r>
      <w:proofErr w:type="spellStart"/>
      <w:r w:rsidRPr="00C456B8">
        <w:rPr>
          <w:rFonts w:asciiTheme="minorHAnsi" w:hAnsiTheme="minorHAnsi"/>
        </w:rPr>
        <w:t>suréchantillon</w:t>
      </w:r>
      <w:proofErr w:type="spellEnd"/>
      <w:r w:rsidRPr="00C456B8">
        <w:rPr>
          <w:rFonts w:asciiTheme="minorHAnsi" w:hAnsiTheme="minorHAnsi"/>
        </w:rPr>
        <w:t xml:space="preserve"> de répondants résidant dans les provinces de l’Atlantique et des Prairies (n = 200). L’échantillon de la deuxième vague était composé de répondants de la population </w:t>
      </w:r>
      <w:r w:rsidRPr="00577799">
        <w:rPr>
          <w:rFonts w:asciiTheme="minorHAnsi" w:hAnsiTheme="minorHAnsi"/>
        </w:rPr>
        <w:t>générale (n = 1 800)</w:t>
      </w:r>
      <w:r>
        <w:rPr>
          <w:rFonts w:asciiTheme="minorHAnsi" w:hAnsiTheme="minorHAnsi"/>
        </w:rPr>
        <w:t xml:space="preserve"> et d’</w:t>
      </w:r>
      <w:r w:rsidRPr="00577799">
        <w:rPr>
          <w:rFonts w:asciiTheme="minorHAnsi" w:hAnsiTheme="minorHAnsi"/>
        </w:rPr>
        <w:t xml:space="preserve">un </w:t>
      </w:r>
      <w:proofErr w:type="spellStart"/>
      <w:r w:rsidRPr="00577799">
        <w:rPr>
          <w:rFonts w:asciiTheme="minorHAnsi" w:hAnsiTheme="minorHAnsi"/>
        </w:rPr>
        <w:t>suréchantillon</w:t>
      </w:r>
      <w:proofErr w:type="spellEnd"/>
      <w:r w:rsidRPr="00577799">
        <w:rPr>
          <w:rFonts w:asciiTheme="minorHAnsi" w:hAnsiTheme="minorHAnsi"/>
        </w:rPr>
        <w:t xml:space="preserve"> de répondants des régions du Nord (n = 200). L’échantillon de la troisième vague était composé de </w:t>
      </w:r>
      <w:r>
        <w:rPr>
          <w:rFonts w:asciiTheme="minorHAnsi" w:hAnsiTheme="minorHAnsi"/>
        </w:rPr>
        <w:t xml:space="preserve">la population générale </w:t>
      </w:r>
      <w:r w:rsidRPr="00577799">
        <w:rPr>
          <w:rFonts w:asciiTheme="minorHAnsi" w:hAnsiTheme="minorHAnsi"/>
        </w:rPr>
        <w:t>(n = 1 800)</w:t>
      </w:r>
      <w:r>
        <w:rPr>
          <w:rFonts w:asciiTheme="minorHAnsi" w:hAnsiTheme="minorHAnsi"/>
        </w:rPr>
        <w:t xml:space="preserve"> </w:t>
      </w:r>
      <w:r w:rsidRPr="00906904">
        <w:rPr>
          <w:rFonts w:asciiTheme="minorHAnsi" w:hAnsiTheme="minorHAnsi"/>
        </w:rPr>
        <w:t xml:space="preserve">et un </w:t>
      </w:r>
      <w:proofErr w:type="spellStart"/>
      <w:r w:rsidRPr="00906904">
        <w:rPr>
          <w:rFonts w:asciiTheme="minorHAnsi" w:hAnsiTheme="minorHAnsi"/>
        </w:rPr>
        <w:t>suréchantillon</w:t>
      </w:r>
      <w:proofErr w:type="spellEnd"/>
      <w:r w:rsidRPr="00906904">
        <w:rPr>
          <w:rFonts w:asciiTheme="minorHAnsi" w:hAnsiTheme="minorHAnsi"/>
        </w:rPr>
        <w:t xml:space="preserve"> de répondants vivant avec un handicap (n=200).</w:t>
      </w:r>
    </w:p>
    <w:p w14:paraId="4426E67B" w14:textId="77777777" w:rsidR="008F62B4" w:rsidRPr="00A50E38" w:rsidRDefault="008F62B4" w:rsidP="008F62B4">
      <w:pPr>
        <w:keepNext/>
        <w:spacing w:before="240" w:after="160"/>
        <w:jc w:val="both"/>
        <w:rPr>
          <w:rFonts w:asciiTheme="minorHAnsi" w:hAnsiTheme="minorHAnsi"/>
        </w:rPr>
      </w:pPr>
      <w:r w:rsidRPr="00284B6A">
        <w:rPr>
          <w:rFonts w:asciiTheme="minorHAnsi" w:hAnsiTheme="minorHAnsi"/>
        </w:rPr>
        <w:t xml:space="preserve">Les répondants </w:t>
      </w:r>
      <w:r>
        <w:rPr>
          <w:rFonts w:asciiTheme="minorHAnsi" w:hAnsiTheme="minorHAnsi"/>
        </w:rPr>
        <w:t>ont été</w:t>
      </w:r>
      <w:r w:rsidRPr="00284B6A">
        <w:rPr>
          <w:rFonts w:asciiTheme="minorHAnsi" w:hAnsiTheme="minorHAnsi"/>
        </w:rPr>
        <w:t xml:space="preserve"> sélectionnés de façon aléatoire parmi les membres de notre panel (LEO) qui ont été recrutés selon une méthodologie probabiliste.</w:t>
      </w:r>
    </w:p>
    <w:p w14:paraId="2364CA29" w14:textId="77777777" w:rsidR="008F62B4" w:rsidRPr="00A50E38" w:rsidRDefault="008F62B4" w:rsidP="008F62B4">
      <w:pPr>
        <w:pStyle w:val="Heading2"/>
      </w:pPr>
      <w:bookmarkStart w:id="22" w:name="_Toc162453332"/>
      <w:r w:rsidRPr="00C456B8">
        <w:t>1.5</w:t>
      </w:r>
      <w:r>
        <w:t> </w:t>
      </w:r>
      <w:r w:rsidRPr="00C456B8">
        <w:t>Quotas</w:t>
      </w:r>
      <w:bookmarkEnd w:id="22"/>
    </w:p>
    <w:p w14:paraId="6CAC59B0" w14:textId="77777777" w:rsidR="008F62B4" w:rsidRPr="00C456B8" w:rsidRDefault="008F62B4" w:rsidP="008F62B4">
      <w:pPr>
        <w:keepNext/>
        <w:spacing w:before="240" w:after="160"/>
        <w:jc w:val="both"/>
        <w:rPr>
          <w:rFonts w:asciiTheme="minorHAnsi" w:eastAsia="Arial" w:hAnsiTheme="minorHAnsi" w:cs="Arial"/>
          <w:bCs/>
          <w:lang w:eastAsia="fr-CA"/>
        </w:rPr>
      </w:pPr>
      <w:r w:rsidRPr="00C456B8">
        <w:rPr>
          <w:rFonts w:asciiTheme="minorHAnsi" w:hAnsiTheme="minorHAnsi"/>
        </w:rPr>
        <w:t xml:space="preserve">Une série de quotas a été établie pour ce projet. Des quotas croisés par genre et par groupe d’âge ont également été imposés selon la région de résidence des répondants. Pour l’échantillon des genres, le premier quota est de 50 % d’hommes et de 50 % de femmes. Ces quotas par genre ont également été respectés dans les groupes d’âge suivants : </w:t>
      </w:r>
      <w:r>
        <w:rPr>
          <w:rFonts w:asciiTheme="minorHAnsi" w:hAnsiTheme="minorHAnsi"/>
        </w:rPr>
        <w:t xml:space="preserve">de </w:t>
      </w:r>
      <w:r w:rsidRPr="00C456B8">
        <w:rPr>
          <w:rFonts w:asciiTheme="minorHAnsi" w:hAnsiTheme="minorHAnsi"/>
        </w:rPr>
        <w:t xml:space="preserve">18 à 34 ans, </w:t>
      </w:r>
      <w:r>
        <w:rPr>
          <w:rFonts w:asciiTheme="minorHAnsi" w:hAnsiTheme="minorHAnsi"/>
        </w:rPr>
        <w:t xml:space="preserve">de </w:t>
      </w:r>
      <w:r w:rsidRPr="00C456B8">
        <w:rPr>
          <w:rFonts w:asciiTheme="minorHAnsi" w:hAnsiTheme="minorHAnsi"/>
        </w:rPr>
        <w:t xml:space="preserve">35 à 54 ans et </w:t>
      </w:r>
      <w:r>
        <w:rPr>
          <w:rFonts w:asciiTheme="minorHAnsi" w:hAnsiTheme="minorHAnsi"/>
        </w:rPr>
        <w:t xml:space="preserve">de </w:t>
      </w:r>
      <w:r w:rsidRPr="00C456B8">
        <w:rPr>
          <w:rFonts w:asciiTheme="minorHAnsi" w:hAnsiTheme="minorHAnsi"/>
        </w:rPr>
        <w:t xml:space="preserve">55 ans et plus. Ces quotas de genre et de groupe d’âge devaient être respectés au niveau régional. Les régions canadiennes ont été divisées de la façon suivante : </w:t>
      </w:r>
    </w:p>
    <w:p w14:paraId="2AF9AA21" w14:textId="77777777" w:rsidR="008F62B4" w:rsidRPr="00C456B8" w:rsidRDefault="008F62B4" w:rsidP="008F62B4">
      <w:pPr>
        <w:spacing w:after="0" w:line="240" w:lineRule="auto"/>
        <w:jc w:val="both"/>
        <w:rPr>
          <w:rFonts w:asciiTheme="minorHAnsi" w:eastAsia="Arial" w:hAnsiTheme="minorHAnsi" w:cs="Arial"/>
          <w:bCs/>
        </w:rPr>
      </w:pPr>
      <w:r w:rsidRPr="00C456B8">
        <w:rPr>
          <w:rFonts w:asciiTheme="minorHAnsi" w:hAnsiTheme="minorHAnsi"/>
        </w:rPr>
        <w:t>●</w:t>
      </w:r>
      <w:r w:rsidRPr="00C456B8">
        <w:rPr>
          <w:rFonts w:asciiTheme="minorHAnsi" w:hAnsiTheme="minorHAnsi"/>
        </w:rPr>
        <w:tab/>
        <w:t>Canada atlantique (Terre-Neuve, Île-du-Prince-Édouard, Nouvelle-Écosse, Nouveau-Brunswick);</w:t>
      </w:r>
    </w:p>
    <w:p w14:paraId="47006AC3" w14:textId="77777777" w:rsidR="008F62B4" w:rsidRPr="00C456B8" w:rsidRDefault="008F62B4" w:rsidP="008F62B4">
      <w:pPr>
        <w:spacing w:after="0" w:line="240" w:lineRule="auto"/>
        <w:jc w:val="both"/>
        <w:rPr>
          <w:rFonts w:asciiTheme="minorHAnsi" w:eastAsia="Arial" w:hAnsiTheme="minorHAnsi" w:cs="Arial"/>
          <w:bCs/>
        </w:rPr>
      </w:pPr>
      <w:r w:rsidRPr="00C456B8">
        <w:rPr>
          <w:rFonts w:asciiTheme="minorHAnsi" w:hAnsiTheme="minorHAnsi"/>
        </w:rPr>
        <w:t>●</w:t>
      </w:r>
      <w:r w:rsidRPr="00C456B8">
        <w:rPr>
          <w:rFonts w:asciiTheme="minorHAnsi" w:hAnsiTheme="minorHAnsi"/>
        </w:rPr>
        <w:tab/>
        <w:t>Québec;</w:t>
      </w:r>
    </w:p>
    <w:p w14:paraId="760C8C36" w14:textId="77777777" w:rsidR="008F62B4" w:rsidRPr="00C456B8" w:rsidRDefault="008F62B4" w:rsidP="008F62B4">
      <w:pPr>
        <w:spacing w:after="0" w:line="240" w:lineRule="auto"/>
        <w:jc w:val="both"/>
        <w:rPr>
          <w:rFonts w:asciiTheme="minorHAnsi" w:eastAsia="Arial" w:hAnsiTheme="minorHAnsi" w:cs="Arial"/>
          <w:bCs/>
        </w:rPr>
      </w:pPr>
      <w:r w:rsidRPr="00C456B8">
        <w:rPr>
          <w:rFonts w:asciiTheme="minorHAnsi" w:hAnsiTheme="minorHAnsi"/>
        </w:rPr>
        <w:t>●</w:t>
      </w:r>
      <w:r w:rsidRPr="00C456B8">
        <w:rPr>
          <w:rFonts w:asciiTheme="minorHAnsi" w:hAnsiTheme="minorHAnsi"/>
        </w:rPr>
        <w:tab/>
        <w:t>Ontario;</w:t>
      </w:r>
    </w:p>
    <w:p w14:paraId="5A6BD77F" w14:textId="77777777" w:rsidR="008F62B4" w:rsidRPr="00C456B8" w:rsidRDefault="008F62B4" w:rsidP="008F62B4">
      <w:pPr>
        <w:spacing w:after="0" w:line="240" w:lineRule="auto"/>
        <w:jc w:val="both"/>
        <w:rPr>
          <w:rFonts w:asciiTheme="minorHAnsi" w:eastAsia="Arial" w:hAnsiTheme="minorHAnsi" w:cs="Arial"/>
          <w:bCs/>
        </w:rPr>
      </w:pPr>
      <w:r w:rsidRPr="00C456B8">
        <w:rPr>
          <w:rFonts w:asciiTheme="minorHAnsi" w:hAnsiTheme="minorHAnsi"/>
        </w:rPr>
        <w:t>●</w:t>
      </w:r>
      <w:r w:rsidRPr="00C456B8">
        <w:rPr>
          <w:rFonts w:asciiTheme="minorHAnsi" w:hAnsiTheme="minorHAnsi"/>
        </w:rPr>
        <w:tab/>
        <w:t>Manitoba, Saskatchewan et Nunavut;</w:t>
      </w:r>
    </w:p>
    <w:p w14:paraId="763701EB" w14:textId="77777777" w:rsidR="008F62B4" w:rsidRPr="00C456B8" w:rsidRDefault="008F62B4" w:rsidP="008F62B4">
      <w:pPr>
        <w:spacing w:after="0" w:line="240" w:lineRule="auto"/>
        <w:jc w:val="both"/>
        <w:rPr>
          <w:rFonts w:asciiTheme="minorHAnsi" w:eastAsia="Arial" w:hAnsiTheme="minorHAnsi" w:cs="Arial"/>
          <w:bCs/>
        </w:rPr>
      </w:pPr>
      <w:r w:rsidRPr="00C456B8">
        <w:rPr>
          <w:rFonts w:asciiTheme="minorHAnsi" w:hAnsiTheme="minorHAnsi"/>
        </w:rPr>
        <w:t>●</w:t>
      </w:r>
      <w:r w:rsidRPr="00C456B8">
        <w:rPr>
          <w:rFonts w:asciiTheme="minorHAnsi" w:hAnsiTheme="minorHAnsi"/>
        </w:rPr>
        <w:tab/>
        <w:t>Alberta et Territoires du Nord-Ouest;</w:t>
      </w:r>
    </w:p>
    <w:p w14:paraId="37518BF5" w14:textId="77777777" w:rsidR="008F62B4" w:rsidRPr="00C456B8" w:rsidRDefault="008F62B4" w:rsidP="008F62B4">
      <w:pPr>
        <w:spacing w:after="0" w:line="240" w:lineRule="auto"/>
        <w:jc w:val="both"/>
        <w:rPr>
          <w:rFonts w:asciiTheme="minorHAnsi" w:eastAsia="Arial" w:hAnsiTheme="minorHAnsi" w:cs="Arial"/>
          <w:bCs/>
        </w:rPr>
      </w:pPr>
      <w:r w:rsidRPr="00C456B8">
        <w:rPr>
          <w:rFonts w:asciiTheme="minorHAnsi" w:hAnsiTheme="minorHAnsi"/>
        </w:rPr>
        <w:t>●</w:t>
      </w:r>
      <w:r w:rsidRPr="00C456B8">
        <w:rPr>
          <w:rFonts w:asciiTheme="minorHAnsi" w:hAnsiTheme="minorHAnsi"/>
        </w:rPr>
        <w:tab/>
        <w:t>Colombie-Britannique et Yukon.</w:t>
      </w:r>
    </w:p>
    <w:p w14:paraId="4E730BF2" w14:textId="77777777" w:rsidR="008F62B4" w:rsidRPr="00C456B8" w:rsidRDefault="008F62B4" w:rsidP="008F62B4">
      <w:pPr>
        <w:keepNext/>
        <w:spacing w:before="240" w:after="160"/>
        <w:jc w:val="both"/>
        <w:rPr>
          <w:rFonts w:asciiTheme="minorHAnsi" w:eastAsia="Arial" w:hAnsiTheme="minorHAnsi" w:cs="Arial"/>
          <w:bCs/>
        </w:rPr>
      </w:pPr>
      <w:r w:rsidRPr="00C456B8">
        <w:rPr>
          <w:rFonts w:asciiTheme="minorHAnsi" w:hAnsiTheme="minorHAnsi"/>
        </w:rPr>
        <w:t xml:space="preserve">Le tableau suivant illustre la distribution cible de l’échantillon de la population générale entre les provinces et les territoires pour chaque vague. </w:t>
      </w:r>
    </w:p>
    <w:p w14:paraId="2E9E29DE" w14:textId="77777777" w:rsidR="008F62B4" w:rsidRPr="00C456B8" w:rsidRDefault="008F62B4" w:rsidP="008F62B4">
      <w:pPr>
        <w:keepNext/>
        <w:spacing w:before="240" w:after="160"/>
        <w:jc w:val="both"/>
        <w:rPr>
          <w:rFonts w:asciiTheme="minorHAnsi" w:eastAsia="Arial" w:hAnsiTheme="minorHAnsi" w:cs="Arial"/>
          <w:bCs/>
        </w:rPr>
      </w:pPr>
      <w:r w:rsidRPr="00C456B8">
        <w:rPr>
          <w:rFonts w:asciiTheme="minorHAnsi" w:hAnsiTheme="minorHAnsi"/>
        </w:rPr>
        <w:t>La répartition de l’échantillon a été planifiée de la façon suivante :</w:t>
      </w:r>
    </w:p>
    <w:p w14:paraId="04B8F328" w14:textId="77777777" w:rsidR="008F62B4" w:rsidRPr="00C456B8" w:rsidRDefault="008F62B4" w:rsidP="008F62B4">
      <w:pPr>
        <w:spacing w:after="0" w:line="240" w:lineRule="auto"/>
        <w:jc w:val="both"/>
        <w:rPr>
          <w:rFonts w:asciiTheme="minorHAnsi" w:eastAsia="Arial" w:hAnsiTheme="minorHAnsi" w:cs="Arial"/>
          <w:bCs/>
          <w:highlight w:val="yellow"/>
          <w:lang w:eastAsia="fr-CA"/>
        </w:rP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874"/>
        <w:gridCol w:w="654"/>
        <w:gridCol w:w="811"/>
        <w:gridCol w:w="670"/>
        <w:gridCol w:w="551"/>
        <w:gridCol w:w="551"/>
        <w:gridCol w:w="532"/>
        <w:gridCol w:w="441"/>
        <w:gridCol w:w="551"/>
        <w:gridCol w:w="641"/>
        <w:gridCol w:w="505"/>
        <w:gridCol w:w="863"/>
        <w:gridCol w:w="440"/>
      </w:tblGrid>
      <w:tr w:rsidR="008F62B4" w:rsidRPr="00C456B8" w14:paraId="341A23E2" w14:textId="77777777" w:rsidTr="00F94AA8">
        <w:trPr>
          <w:trHeight w:val="870"/>
          <w:jc w:val="center"/>
        </w:trPr>
        <w:tc>
          <w:tcPr>
            <w:tcW w:w="0" w:type="auto"/>
            <w:vAlign w:val="center"/>
          </w:tcPr>
          <w:p w14:paraId="46550046" w14:textId="77777777" w:rsidR="008F62B4" w:rsidRPr="00C456B8" w:rsidRDefault="008F62B4" w:rsidP="00F94AA8">
            <w:pPr>
              <w:spacing w:line="240" w:lineRule="auto"/>
              <w:jc w:val="center"/>
              <w:rPr>
                <w:rFonts w:asciiTheme="minorHAnsi" w:eastAsia="Times New Roman" w:hAnsiTheme="minorHAnsi"/>
                <w:b/>
                <w:bCs/>
                <w:color w:val="000000"/>
              </w:rPr>
            </w:pPr>
            <w:r w:rsidRPr="00C456B8">
              <w:rPr>
                <w:rFonts w:asciiTheme="minorHAnsi" w:hAnsiTheme="minorHAnsi"/>
                <w:b/>
                <w:color w:val="000000"/>
              </w:rPr>
              <w:t>Provinces et territoires</w:t>
            </w:r>
          </w:p>
        </w:tc>
        <w:tc>
          <w:tcPr>
            <w:tcW w:w="0" w:type="auto"/>
            <w:shd w:val="clear" w:color="auto" w:fill="auto"/>
            <w:noWrap/>
            <w:vAlign w:val="center"/>
            <w:hideMark/>
          </w:tcPr>
          <w:p w14:paraId="45F866DB" w14:textId="77777777" w:rsidR="008F62B4" w:rsidRPr="00C456B8" w:rsidRDefault="008F62B4" w:rsidP="00F94AA8">
            <w:pPr>
              <w:spacing w:line="240" w:lineRule="auto"/>
              <w:jc w:val="center"/>
              <w:rPr>
                <w:rFonts w:asciiTheme="minorHAnsi" w:eastAsia="Times New Roman" w:hAnsiTheme="minorHAnsi"/>
                <w:b/>
                <w:bCs/>
                <w:color w:val="000000"/>
              </w:rPr>
            </w:pPr>
            <w:r w:rsidRPr="00C456B8">
              <w:rPr>
                <w:rFonts w:asciiTheme="minorHAnsi" w:hAnsiTheme="minorHAnsi"/>
                <w:b/>
                <w:color w:val="000000"/>
              </w:rPr>
              <w:t>T.-N.-L.</w:t>
            </w:r>
          </w:p>
        </w:tc>
        <w:tc>
          <w:tcPr>
            <w:tcW w:w="0" w:type="auto"/>
            <w:shd w:val="clear" w:color="auto" w:fill="auto"/>
            <w:noWrap/>
            <w:vAlign w:val="center"/>
            <w:hideMark/>
          </w:tcPr>
          <w:p w14:paraId="658EA8D6" w14:textId="77777777" w:rsidR="008F62B4" w:rsidRPr="00C456B8" w:rsidRDefault="008F62B4" w:rsidP="00F94AA8">
            <w:pPr>
              <w:spacing w:line="240" w:lineRule="auto"/>
              <w:jc w:val="center"/>
              <w:rPr>
                <w:rFonts w:asciiTheme="minorHAnsi" w:eastAsia="Times New Roman" w:hAnsiTheme="minorHAnsi"/>
                <w:b/>
                <w:bCs/>
                <w:color w:val="000000"/>
              </w:rPr>
            </w:pPr>
            <w:r w:rsidRPr="00C456B8">
              <w:rPr>
                <w:rFonts w:asciiTheme="minorHAnsi" w:hAnsiTheme="minorHAnsi"/>
                <w:b/>
                <w:color w:val="000000"/>
              </w:rPr>
              <w:t>N.-É.</w:t>
            </w:r>
          </w:p>
        </w:tc>
        <w:tc>
          <w:tcPr>
            <w:tcW w:w="0" w:type="auto"/>
            <w:shd w:val="clear" w:color="auto" w:fill="auto"/>
            <w:noWrap/>
            <w:vAlign w:val="center"/>
            <w:hideMark/>
          </w:tcPr>
          <w:p w14:paraId="2CF00C4F" w14:textId="77777777" w:rsidR="008F62B4" w:rsidRPr="00C456B8" w:rsidRDefault="008F62B4" w:rsidP="00F94AA8">
            <w:pPr>
              <w:spacing w:line="240" w:lineRule="auto"/>
              <w:jc w:val="center"/>
              <w:rPr>
                <w:rFonts w:asciiTheme="minorHAnsi" w:eastAsia="Times New Roman" w:hAnsiTheme="minorHAnsi"/>
                <w:b/>
                <w:bCs/>
                <w:color w:val="000000"/>
              </w:rPr>
            </w:pPr>
            <w:r w:rsidRPr="00C456B8">
              <w:rPr>
                <w:rFonts w:asciiTheme="minorHAnsi" w:hAnsiTheme="minorHAnsi"/>
                <w:b/>
                <w:color w:val="000000"/>
              </w:rPr>
              <w:t>Î.-P.-É.</w:t>
            </w:r>
          </w:p>
        </w:tc>
        <w:tc>
          <w:tcPr>
            <w:tcW w:w="0" w:type="auto"/>
            <w:shd w:val="clear" w:color="auto" w:fill="auto"/>
            <w:noWrap/>
            <w:vAlign w:val="center"/>
            <w:hideMark/>
          </w:tcPr>
          <w:p w14:paraId="10150220" w14:textId="77777777" w:rsidR="008F62B4" w:rsidRPr="00C456B8" w:rsidRDefault="008F62B4" w:rsidP="00F94AA8">
            <w:pPr>
              <w:spacing w:line="240" w:lineRule="auto"/>
              <w:jc w:val="center"/>
              <w:rPr>
                <w:rFonts w:asciiTheme="minorHAnsi" w:eastAsia="Times New Roman" w:hAnsiTheme="minorHAnsi"/>
                <w:b/>
                <w:bCs/>
                <w:color w:val="000000"/>
              </w:rPr>
            </w:pPr>
            <w:r w:rsidRPr="00C456B8">
              <w:rPr>
                <w:rFonts w:asciiTheme="minorHAnsi" w:hAnsiTheme="minorHAnsi"/>
                <w:b/>
                <w:color w:val="000000"/>
              </w:rPr>
              <w:t>N.-B.</w:t>
            </w:r>
          </w:p>
        </w:tc>
        <w:tc>
          <w:tcPr>
            <w:tcW w:w="0" w:type="auto"/>
            <w:shd w:val="clear" w:color="auto" w:fill="auto"/>
            <w:noWrap/>
            <w:vAlign w:val="center"/>
            <w:hideMark/>
          </w:tcPr>
          <w:p w14:paraId="10FF4DC9" w14:textId="77777777" w:rsidR="008F62B4" w:rsidRPr="00C456B8" w:rsidRDefault="008F62B4" w:rsidP="00F94AA8">
            <w:pPr>
              <w:spacing w:line="240" w:lineRule="auto"/>
              <w:jc w:val="center"/>
              <w:rPr>
                <w:rFonts w:asciiTheme="minorHAnsi" w:eastAsia="Times New Roman" w:hAnsiTheme="minorHAnsi"/>
                <w:b/>
                <w:bCs/>
                <w:color w:val="000000"/>
              </w:rPr>
            </w:pPr>
            <w:r w:rsidRPr="00C456B8">
              <w:rPr>
                <w:rFonts w:asciiTheme="minorHAnsi" w:hAnsiTheme="minorHAnsi"/>
                <w:b/>
                <w:color w:val="000000"/>
              </w:rPr>
              <w:t>QC</w:t>
            </w:r>
          </w:p>
        </w:tc>
        <w:tc>
          <w:tcPr>
            <w:tcW w:w="0" w:type="auto"/>
            <w:shd w:val="clear" w:color="auto" w:fill="auto"/>
            <w:noWrap/>
            <w:vAlign w:val="center"/>
            <w:hideMark/>
          </w:tcPr>
          <w:p w14:paraId="2D57C86D" w14:textId="77777777" w:rsidR="008F62B4" w:rsidRPr="00C456B8" w:rsidRDefault="008F62B4" w:rsidP="00F94AA8">
            <w:pPr>
              <w:spacing w:line="240" w:lineRule="auto"/>
              <w:jc w:val="center"/>
              <w:rPr>
                <w:rFonts w:asciiTheme="minorHAnsi" w:eastAsia="Times New Roman" w:hAnsiTheme="minorHAnsi"/>
                <w:b/>
                <w:bCs/>
                <w:color w:val="000000"/>
              </w:rPr>
            </w:pPr>
            <w:r w:rsidRPr="00C456B8">
              <w:rPr>
                <w:rFonts w:asciiTheme="minorHAnsi" w:hAnsiTheme="minorHAnsi"/>
                <w:b/>
                <w:color w:val="000000"/>
              </w:rPr>
              <w:t>ON</w:t>
            </w:r>
          </w:p>
        </w:tc>
        <w:tc>
          <w:tcPr>
            <w:tcW w:w="0" w:type="auto"/>
            <w:shd w:val="clear" w:color="auto" w:fill="auto"/>
            <w:noWrap/>
            <w:vAlign w:val="center"/>
            <w:hideMark/>
          </w:tcPr>
          <w:p w14:paraId="1BB0BE1D" w14:textId="77777777" w:rsidR="008F62B4" w:rsidRPr="00C456B8" w:rsidRDefault="008F62B4" w:rsidP="00F94AA8">
            <w:pPr>
              <w:spacing w:line="240" w:lineRule="auto"/>
              <w:jc w:val="center"/>
              <w:rPr>
                <w:rFonts w:asciiTheme="minorHAnsi" w:eastAsia="Times New Roman" w:hAnsiTheme="minorHAnsi"/>
                <w:b/>
                <w:bCs/>
                <w:color w:val="000000"/>
              </w:rPr>
            </w:pPr>
            <w:r w:rsidRPr="00C456B8">
              <w:rPr>
                <w:rFonts w:asciiTheme="minorHAnsi" w:hAnsiTheme="minorHAnsi"/>
                <w:b/>
                <w:color w:val="000000"/>
              </w:rPr>
              <w:t>MB</w:t>
            </w:r>
          </w:p>
        </w:tc>
        <w:tc>
          <w:tcPr>
            <w:tcW w:w="0" w:type="auto"/>
            <w:shd w:val="clear" w:color="auto" w:fill="auto"/>
            <w:noWrap/>
            <w:vAlign w:val="center"/>
            <w:hideMark/>
          </w:tcPr>
          <w:p w14:paraId="667A2112" w14:textId="77777777" w:rsidR="008F62B4" w:rsidRPr="00C456B8" w:rsidRDefault="008F62B4" w:rsidP="00F94AA8">
            <w:pPr>
              <w:spacing w:line="240" w:lineRule="auto"/>
              <w:jc w:val="center"/>
              <w:rPr>
                <w:rFonts w:asciiTheme="minorHAnsi" w:eastAsia="Times New Roman" w:hAnsiTheme="minorHAnsi"/>
                <w:b/>
                <w:bCs/>
                <w:color w:val="000000"/>
              </w:rPr>
            </w:pPr>
            <w:r w:rsidRPr="00C456B8">
              <w:rPr>
                <w:rFonts w:asciiTheme="minorHAnsi" w:hAnsiTheme="minorHAnsi"/>
                <w:b/>
                <w:color w:val="000000"/>
              </w:rPr>
              <w:t>SK</w:t>
            </w:r>
          </w:p>
        </w:tc>
        <w:tc>
          <w:tcPr>
            <w:tcW w:w="0" w:type="auto"/>
            <w:shd w:val="clear" w:color="auto" w:fill="auto"/>
            <w:noWrap/>
            <w:vAlign w:val="center"/>
            <w:hideMark/>
          </w:tcPr>
          <w:p w14:paraId="765394C4" w14:textId="77777777" w:rsidR="008F62B4" w:rsidRPr="00C456B8" w:rsidRDefault="008F62B4" w:rsidP="00F94AA8">
            <w:pPr>
              <w:spacing w:line="240" w:lineRule="auto"/>
              <w:jc w:val="center"/>
              <w:rPr>
                <w:rFonts w:asciiTheme="minorHAnsi" w:eastAsia="Times New Roman" w:hAnsiTheme="minorHAnsi"/>
                <w:b/>
                <w:bCs/>
                <w:color w:val="000000"/>
              </w:rPr>
            </w:pPr>
            <w:r w:rsidRPr="00C456B8">
              <w:rPr>
                <w:rFonts w:asciiTheme="minorHAnsi" w:hAnsiTheme="minorHAnsi"/>
                <w:b/>
                <w:color w:val="000000"/>
              </w:rPr>
              <w:t>AB</w:t>
            </w:r>
          </w:p>
        </w:tc>
        <w:tc>
          <w:tcPr>
            <w:tcW w:w="0" w:type="auto"/>
            <w:shd w:val="clear" w:color="auto" w:fill="auto"/>
            <w:noWrap/>
            <w:vAlign w:val="center"/>
            <w:hideMark/>
          </w:tcPr>
          <w:p w14:paraId="7F7F0C40" w14:textId="77777777" w:rsidR="008F62B4" w:rsidRPr="00C456B8" w:rsidRDefault="008F62B4" w:rsidP="00F94AA8">
            <w:pPr>
              <w:spacing w:line="240" w:lineRule="auto"/>
              <w:jc w:val="center"/>
              <w:rPr>
                <w:rFonts w:asciiTheme="minorHAnsi" w:eastAsia="Times New Roman" w:hAnsiTheme="minorHAnsi"/>
                <w:b/>
                <w:bCs/>
                <w:color w:val="000000"/>
              </w:rPr>
            </w:pPr>
            <w:r w:rsidRPr="00C456B8">
              <w:rPr>
                <w:rFonts w:asciiTheme="minorHAnsi" w:hAnsiTheme="minorHAnsi"/>
                <w:b/>
                <w:color w:val="000000"/>
              </w:rPr>
              <w:t>C.-B.</w:t>
            </w:r>
          </w:p>
        </w:tc>
        <w:tc>
          <w:tcPr>
            <w:tcW w:w="0" w:type="auto"/>
            <w:shd w:val="clear" w:color="auto" w:fill="auto"/>
            <w:noWrap/>
            <w:vAlign w:val="center"/>
            <w:hideMark/>
          </w:tcPr>
          <w:p w14:paraId="4805E691" w14:textId="77777777" w:rsidR="008F62B4" w:rsidRPr="00C456B8" w:rsidRDefault="008F62B4" w:rsidP="00F94AA8">
            <w:pPr>
              <w:spacing w:line="240" w:lineRule="auto"/>
              <w:jc w:val="center"/>
              <w:rPr>
                <w:rFonts w:asciiTheme="minorHAnsi" w:eastAsia="Times New Roman" w:hAnsiTheme="minorHAnsi"/>
                <w:b/>
                <w:bCs/>
                <w:color w:val="000000"/>
              </w:rPr>
            </w:pPr>
            <w:r w:rsidRPr="00C456B8">
              <w:rPr>
                <w:rFonts w:asciiTheme="minorHAnsi" w:hAnsiTheme="minorHAnsi"/>
                <w:b/>
                <w:color w:val="000000"/>
              </w:rPr>
              <w:t>NU</w:t>
            </w:r>
          </w:p>
        </w:tc>
        <w:tc>
          <w:tcPr>
            <w:tcW w:w="0" w:type="auto"/>
            <w:shd w:val="clear" w:color="auto" w:fill="auto"/>
            <w:noWrap/>
            <w:vAlign w:val="center"/>
            <w:hideMark/>
          </w:tcPr>
          <w:p w14:paraId="256B1122" w14:textId="77777777" w:rsidR="008F62B4" w:rsidRPr="00C456B8" w:rsidRDefault="008F62B4" w:rsidP="00F94AA8">
            <w:pPr>
              <w:spacing w:line="240" w:lineRule="auto"/>
              <w:jc w:val="center"/>
              <w:rPr>
                <w:rFonts w:asciiTheme="minorHAnsi" w:eastAsia="Times New Roman" w:hAnsiTheme="minorHAnsi"/>
                <w:b/>
                <w:bCs/>
                <w:color w:val="000000"/>
              </w:rPr>
            </w:pPr>
            <w:r w:rsidRPr="00C456B8">
              <w:rPr>
                <w:rFonts w:asciiTheme="minorHAnsi" w:hAnsiTheme="minorHAnsi"/>
                <w:b/>
                <w:color w:val="000000"/>
              </w:rPr>
              <w:t>T.N.-O.</w:t>
            </w:r>
          </w:p>
        </w:tc>
        <w:tc>
          <w:tcPr>
            <w:tcW w:w="0" w:type="auto"/>
            <w:shd w:val="clear" w:color="auto" w:fill="auto"/>
            <w:noWrap/>
            <w:vAlign w:val="center"/>
            <w:hideMark/>
          </w:tcPr>
          <w:p w14:paraId="177D11A2" w14:textId="77777777" w:rsidR="008F62B4" w:rsidRPr="00C456B8" w:rsidRDefault="008F62B4" w:rsidP="00F94AA8">
            <w:pPr>
              <w:spacing w:line="240" w:lineRule="auto"/>
              <w:jc w:val="center"/>
              <w:rPr>
                <w:rFonts w:asciiTheme="minorHAnsi" w:eastAsia="Times New Roman" w:hAnsiTheme="minorHAnsi"/>
                <w:b/>
                <w:bCs/>
                <w:color w:val="000000"/>
              </w:rPr>
            </w:pPr>
            <w:r w:rsidRPr="00C456B8">
              <w:rPr>
                <w:rFonts w:asciiTheme="minorHAnsi" w:hAnsiTheme="minorHAnsi"/>
                <w:b/>
                <w:color w:val="000000"/>
              </w:rPr>
              <w:t>YT</w:t>
            </w:r>
          </w:p>
        </w:tc>
      </w:tr>
      <w:tr w:rsidR="008F62B4" w:rsidRPr="00C456B8" w14:paraId="25078E21" w14:textId="77777777" w:rsidTr="00F94AA8">
        <w:trPr>
          <w:trHeight w:val="386"/>
          <w:jc w:val="center"/>
        </w:trPr>
        <w:tc>
          <w:tcPr>
            <w:tcW w:w="0" w:type="auto"/>
            <w:vAlign w:val="center"/>
          </w:tcPr>
          <w:p w14:paraId="69DF5922" w14:textId="77777777" w:rsidR="008F62B4" w:rsidRPr="00C456B8" w:rsidRDefault="008F62B4" w:rsidP="00F94AA8">
            <w:pPr>
              <w:spacing w:line="240" w:lineRule="auto"/>
              <w:jc w:val="center"/>
              <w:rPr>
                <w:rFonts w:asciiTheme="minorHAnsi" w:eastAsia="Times New Roman" w:hAnsiTheme="minorHAnsi"/>
                <w:b/>
                <w:bCs/>
                <w:color w:val="000000"/>
              </w:rPr>
            </w:pPr>
            <w:r w:rsidRPr="00C456B8">
              <w:rPr>
                <w:rFonts w:asciiTheme="minorHAnsi" w:hAnsiTheme="minorHAnsi"/>
                <w:b/>
                <w:color w:val="000000"/>
              </w:rPr>
              <w:lastRenderedPageBreak/>
              <w:t xml:space="preserve">Nombre de répondants de la population générale </w:t>
            </w:r>
          </w:p>
        </w:tc>
        <w:tc>
          <w:tcPr>
            <w:tcW w:w="0" w:type="auto"/>
            <w:shd w:val="clear" w:color="auto" w:fill="auto"/>
            <w:noWrap/>
            <w:vAlign w:val="center"/>
          </w:tcPr>
          <w:p w14:paraId="386B6ADB" w14:textId="77777777" w:rsidR="008F62B4" w:rsidRPr="00876D8A" w:rsidRDefault="008F62B4" w:rsidP="00F94AA8">
            <w:pPr>
              <w:spacing w:line="240" w:lineRule="auto"/>
              <w:jc w:val="center"/>
              <w:rPr>
                <w:rFonts w:asciiTheme="minorHAnsi" w:eastAsia="Times New Roman" w:hAnsiTheme="minorHAnsi"/>
                <w:color w:val="000000"/>
              </w:rPr>
            </w:pPr>
            <w:r w:rsidRPr="00876D8A">
              <w:rPr>
                <w:rFonts w:asciiTheme="minorHAnsi" w:eastAsia="Times New Roman" w:hAnsiTheme="minorHAnsi"/>
                <w:color w:val="000000"/>
              </w:rPr>
              <w:t>25</w:t>
            </w:r>
          </w:p>
        </w:tc>
        <w:tc>
          <w:tcPr>
            <w:tcW w:w="0" w:type="auto"/>
            <w:shd w:val="clear" w:color="auto" w:fill="auto"/>
            <w:noWrap/>
            <w:vAlign w:val="center"/>
          </w:tcPr>
          <w:p w14:paraId="0BEF36EB" w14:textId="77777777" w:rsidR="008F62B4" w:rsidRPr="00876D8A" w:rsidRDefault="008F62B4" w:rsidP="00F94AA8">
            <w:pPr>
              <w:spacing w:line="240" w:lineRule="auto"/>
              <w:jc w:val="center"/>
              <w:rPr>
                <w:rFonts w:asciiTheme="minorHAnsi" w:eastAsia="Times New Roman" w:hAnsiTheme="minorHAnsi"/>
                <w:color w:val="000000"/>
              </w:rPr>
            </w:pPr>
            <w:r>
              <w:rPr>
                <w:rFonts w:asciiTheme="minorHAnsi" w:eastAsia="Times New Roman" w:hAnsiTheme="minorHAnsi"/>
                <w:color w:val="000000"/>
              </w:rPr>
              <w:t>47</w:t>
            </w:r>
          </w:p>
        </w:tc>
        <w:tc>
          <w:tcPr>
            <w:tcW w:w="0" w:type="auto"/>
            <w:shd w:val="clear" w:color="auto" w:fill="auto"/>
            <w:noWrap/>
            <w:vAlign w:val="center"/>
          </w:tcPr>
          <w:p w14:paraId="731A834D" w14:textId="77777777" w:rsidR="008F62B4" w:rsidRPr="00876D8A" w:rsidRDefault="008F62B4" w:rsidP="00F94AA8">
            <w:pPr>
              <w:spacing w:line="240" w:lineRule="auto"/>
              <w:jc w:val="center"/>
              <w:rPr>
                <w:rFonts w:asciiTheme="minorHAnsi" w:eastAsia="Times New Roman" w:hAnsiTheme="minorHAnsi"/>
                <w:color w:val="000000"/>
              </w:rPr>
            </w:pPr>
            <w:r>
              <w:rPr>
                <w:rFonts w:asciiTheme="minorHAnsi" w:eastAsia="Times New Roman" w:hAnsiTheme="minorHAnsi"/>
                <w:color w:val="000000"/>
              </w:rPr>
              <w:t>7</w:t>
            </w:r>
          </w:p>
        </w:tc>
        <w:tc>
          <w:tcPr>
            <w:tcW w:w="0" w:type="auto"/>
            <w:shd w:val="clear" w:color="auto" w:fill="auto"/>
            <w:noWrap/>
            <w:vAlign w:val="center"/>
          </w:tcPr>
          <w:p w14:paraId="5B2C0813" w14:textId="77777777" w:rsidR="008F62B4" w:rsidRPr="00876D8A" w:rsidRDefault="008F62B4" w:rsidP="00F94AA8">
            <w:pPr>
              <w:spacing w:line="240" w:lineRule="auto"/>
              <w:jc w:val="center"/>
              <w:rPr>
                <w:rFonts w:asciiTheme="minorHAnsi" w:eastAsia="Times New Roman" w:hAnsiTheme="minorHAnsi"/>
                <w:color w:val="000000"/>
              </w:rPr>
            </w:pPr>
            <w:r>
              <w:rPr>
                <w:rFonts w:asciiTheme="minorHAnsi" w:eastAsia="Times New Roman" w:hAnsiTheme="minorHAnsi"/>
                <w:color w:val="000000"/>
              </w:rPr>
              <w:t>38</w:t>
            </w:r>
          </w:p>
        </w:tc>
        <w:tc>
          <w:tcPr>
            <w:tcW w:w="0" w:type="auto"/>
            <w:shd w:val="clear" w:color="auto" w:fill="auto"/>
            <w:noWrap/>
            <w:vAlign w:val="center"/>
          </w:tcPr>
          <w:p w14:paraId="433E9858" w14:textId="77777777" w:rsidR="008F62B4" w:rsidRPr="00876D8A" w:rsidRDefault="008F62B4" w:rsidP="00F94AA8">
            <w:pPr>
              <w:spacing w:line="240" w:lineRule="auto"/>
              <w:jc w:val="center"/>
              <w:rPr>
                <w:rFonts w:asciiTheme="minorHAnsi" w:eastAsia="Times New Roman" w:hAnsiTheme="minorHAnsi"/>
                <w:color w:val="000000"/>
              </w:rPr>
            </w:pPr>
            <w:r>
              <w:rPr>
                <w:rFonts w:asciiTheme="minorHAnsi" w:eastAsia="Times New Roman" w:hAnsiTheme="minorHAnsi"/>
                <w:color w:val="000000"/>
              </w:rPr>
              <w:t>414</w:t>
            </w:r>
          </w:p>
        </w:tc>
        <w:tc>
          <w:tcPr>
            <w:tcW w:w="0" w:type="auto"/>
            <w:shd w:val="clear" w:color="auto" w:fill="auto"/>
            <w:noWrap/>
            <w:vAlign w:val="center"/>
          </w:tcPr>
          <w:p w14:paraId="536740D5" w14:textId="77777777" w:rsidR="008F62B4" w:rsidRPr="00876D8A" w:rsidRDefault="008F62B4" w:rsidP="00F94AA8">
            <w:pPr>
              <w:spacing w:line="240" w:lineRule="auto"/>
              <w:jc w:val="center"/>
              <w:rPr>
                <w:rFonts w:asciiTheme="minorHAnsi" w:eastAsia="Times New Roman" w:hAnsiTheme="minorHAnsi"/>
                <w:color w:val="000000"/>
              </w:rPr>
            </w:pPr>
            <w:r>
              <w:rPr>
                <w:rFonts w:asciiTheme="minorHAnsi" w:eastAsia="Times New Roman" w:hAnsiTheme="minorHAnsi"/>
                <w:color w:val="000000"/>
              </w:rPr>
              <w:t>692</w:t>
            </w:r>
          </w:p>
        </w:tc>
        <w:tc>
          <w:tcPr>
            <w:tcW w:w="0" w:type="auto"/>
            <w:shd w:val="clear" w:color="auto" w:fill="auto"/>
            <w:noWrap/>
            <w:vAlign w:val="center"/>
          </w:tcPr>
          <w:p w14:paraId="3B2F158E" w14:textId="77777777" w:rsidR="008F62B4" w:rsidRPr="00876D8A" w:rsidRDefault="008F62B4" w:rsidP="00F94AA8">
            <w:pPr>
              <w:spacing w:line="240" w:lineRule="auto"/>
              <w:jc w:val="center"/>
              <w:rPr>
                <w:rFonts w:asciiTheme="minorHAnsi" w:eastAsia="Times New Roman" w:hAnsiTheme="minorHAnsi"/>
                <w:color w:val="000000"/>
              </w:rPr>
            </w:pPr>
            <w:r>
              <w:rPr>
                <w:rFonts w:asciiTheme="minorHAnsi" w:eastAsia="Times New Roman" w:hAnsiTheme="minorHAnsi"/>
                <w:color w:val="000000"/>
              </w:rPr>
              <w:t>66</w:t>
            </w:r>
          </w:p>
        </w:tc>
        <w:tc>
          <w:tcPr>
            <w:tcW w:w="0" w:type="auto"/>
            <w:shd w:val="clear" w:color="auto" w:fill="auto"/>
            <w:noWrap/>
            <w:vAlign w:val="center"/>
          </w:tcPr>
          <w:p w14:paraId="185AAAD3" w14:textId="77777777" w:rsidR="008F62B4" w:rsidRPr="00876D8A" w:rsidRDefault="008F62B4" w:rsidP="00F94AA8">
            <w:pPr>
              <w:spacing w:line="240" w:lineRule="auto"/>
              <w:jc w:val="center"/>
              <w:rPr>
                <w:rFonts w:asciiTheme="minorHAnsi" w:eastAsia="Times New Roman" w:hAnsiTheme="minorHAnsi"/>
                <w:color w:val="000000"/>
              </w:rPr>
            </w:pPr>
            <w:r>
              <w:rPr>
                <w:rFonts w:asciiTheme="minorHAnsi" w:eastAsia="Times New Roman" w:hAnsiTheme="minorHAnsi"/>
                <w:color w:val="000000"/>
              </w:rPr>
              <w:t>55</w:t>
            </w:r>
          </w:p>
        </w:tc>
        <w:tc>
          <w:tcPr>
            <w:tcW w:w="0" w:type="auto"/>
            <w:shd w:val="clear" w:color="auto" w:fill="auto"/>
            <w:noWrap/>
            <w:vAlign w:val="center"/>
          </w:tcPr>
          <w:p w14:paraId="69582A01" w14:textId="77777777" w:rsidR="008F62B4" w:rsidRPr="00876D8A" w:rsidRDefault="008F62B4" w:rsidP="00F94AA8">
            <w:pPr>
              <w:spacing w:line="240" w:lineRule="auto"/>
              <w:jc w:val="center"/>
              <w:rPr>
                <w:rFonts w:asciiTheme="minorHAnsi" w:eastAsia="Times New Roman" w:hAnsiTheme="minorHAnsi"/>
                <w:color w:val="000000"/>
              </w:rPr>
            </w:pPr>
            <w:r>
              <w:rPr>
                <w:rFonts w:asciiTheme="minorHAnsi" w:eastAsia="Times New Roman" w:hAnsiTheme="minorHAnsi"/>
                <w:color w:val="000000"/>
              </w:rPr>
              <w:t>207</w:t>
            </w:r>
          </w:p>
        </w:tc>
        <w:tc>
          <w:tcPr>
            <w:tcW w:w="0" w:type="auto"/>
            <w:shd w:val="clear" w:color="auto" w:fill="auto"/>
            <w:noWrap/>
            <w:vAlign w:val="center"/>
          </w:tcPr>
          <w:p w14:paraId="765061E5" w14:textId="77777777" w:rsidR="008F62B4" w:rsidRPr="00876D8A" w:rsidRDefault="008F62B4" w:rsidP="00F94AA8">
            <w:pPr>
              <w:spacing w:line="240" w:lineRule="auto"/>
              <w:jc w:val="center"/>
              <w:rPr>
                <w:rFonts w:asciiTheme="minorHAnsi" w:eastAsia="Times New Roman" w:hAnsiTheme="minorHAnsi"/>
                <w:color w:val="000000"/>
              </w:rPr>
            </w:pPr>
            <w:r>
              <w:rPr>
                <w:rFonts w:asciiTheme="minorHAnsi" w:eastAsia="Times New Roman" w:hAnsiTheme="minorHAnsi"/>
                <w:color w:val="000000"/>
              </w:rPr>
              <w:t>243</w:t>
            </w:r>
          </w:p>
        </w:tc>
        <w:tc>
          <w:tcPr>
            <w:tcW w:w="0" w:type="auto"/>
            <w:shd w:val="clear" w:color="auto" w:fill="auto"/>
            <w:noWrap/>
            <w:vAlign w:val="center"/>
          </w:tcPr>
          <w:p w14:paraId="04C87FDD" w14:textId="77777777" w:rsidR="008F62B4" w:rsidRPr="00876D8A" w:rsidRDefault="008F62B4" w:rsidP="00F94AA8">
            <w:pPr>
              <w:spacing w:line="240" w:lineRule="auto"/>
              <w:jc w:val="center"/>
              <w:rPr>
                <w:rFonts w:asciiTheme="minorHAnsi" w:eastAsia="Times New Roman" w:hAnsiTheme="minorHAnsi"/>
                <w:color w:val="000000"/>
              </w:rPr>
            </w:pPr>
            <w:r>
              <w:rPr>
                <w:rFonts w:asciiTheme="minorHAnsi" w:eastAsia="Times New Roman" w:hAnsiTheme="minorHAnsi"/>
                <w:color w:val="000000"/>
              </w:rPr>
              <w:t>2</w:t>
            </w:r>
          </w:p>
        </w:tc>
        <w:tc>
          <w:tcPr>
            <w:tcW w:w="0" w:type="auto"/>
            <w:shd w:val="clear" w:color="auto" w:fill="auto"/>
            <w:noWrap/>
            <w:vAlign w:val="center"/>
          </w:tcPr>
          <w:p w14:paraId="1ADDE388" w14:textId="77777777" w:rsidR="008F62B4" w:rsidRPr="00876D8A" w:rsidRDefault="008F62B4" w:rsidP="00F94AA8">
            <w:pPr>
              <w:spacing w:line="240" w:lineRule="auto"/>
              <w:jc w:val="center"/>
              <w:rPr>
                <w:rFonts w:asciiTheme="minorHAnsi" w:eastAsia="Times New Roman" w:hAnsiTheme="minorHAnsi"/>
                <w:color w:val="000000"/>
              </w:rPr>
            </w:pPr>
            <w:r>
              <w:rPr>
                <w:rFonts w:asciiTheme="minorHAnsi" w:eastAsia="Times New Roman" w:hAnsiTheme="minorHAnsi"/>
                <w:color w:val="000000"/>
              </w:rPr>
              <w:t>2</w:t>
            </w:r>
          </w:p>
        </w:tc>
        <w:tc>
          <w:tcPr>
            <w:tcW w:w="0" w:type="auto"/>
            <w:shd w:val="clear" w:color="auto" w:fill="auto"/>
            <w:noWrap/>
            <w:vAlign w:val="center"/>
          </w:tcPr>
          <w:p w14:paraId="4D6E8C42" w14:textId="77777777" w:rsidR="008F62B4" w:rsidRPr="00876D8A" w:rsidRDefault="008F62B4" w:rsidP="00F94AA8">
            <w:pPr>
              <w:spacing w:line="240" w:lineRule="auto"/>
              <w:jc w:val="center"/>
              <w:rPr>
                <w:rFonts w:asciiTheme="minorHAnsi" w:eastAsia="Times New Roman" w:hAnsiTheme="minorHAnsi"/>
                <w:color w:val="000000"/>
              </w:rPr>
            </w:pPr>
            <w:r>
              <w:rPr>
                <w:rFonts w:asciiTheme="minorHAnsi" w:eastAsia="Times New Roman" w:hAnsiTheme="minorHAnsi"/>
                <w:color w:val="000000"/>
              </w:rPr>
              <w:t>2</w:t>
            </w:r>
          </w:p>
        </w:tc>
      </w:tr>
    </w:tbl>
    <w:p w14:paraId="2DE44CC6" w14:textId="77777777" w:rsidR="008F62B4" w:rsidRPr="00C456B8" w:rsidRDefault="008F62B4" w:rsidP="008F62B4">
      <w:pPr>
        <w:spacing w:after="0" w:line="240" w:lineRule="auto"/>
        <w:jc w:val="both"/>
        <w:rPr>
          <w:rFonts w:asciiTheme="minorHAnsi" w:eastAsia="Arial" w:hAnsiTheme="minorHAnsi" w:cs="Arial"/>
          <w:bCs/>
          <w:lang w:val="en-GB" w:eastAsia="fr-CA"/>
        </w:rPr>
      </w:pPr>
    </w:p>
    <w:p w14:paraId="2A621808" w14:textId="77777777" w:rsidR="008F62B4" w:rsidRPr="00C456B8" w:rsidRDefault="008F62B4" w:rsidP="008F62B4">
      <w:pPr>
        <w:spacing w:after="0" w:line="240" w:lineRule="auto"/>
        <w:jc w:val="both"/>
        <w:rPr>
          <w:rFonts w:asciiTheme="minorHAnsi" w:eastAsia="Arial" w:hAnsiTheme="minorHAnsi" w:cs="Arial"/>
          <w:bCs/>
        </w:rPr>
      </w:pPr>
      <w:r w:rsidRPr="00C456B8">
        <w:rPr>
          <w:rFonts w:asciiTheme="minorHAnsi" w:hAnsiTheme="minorHAnsi"/>
        </w:rPr>
        <w:t>En plus de ce qui précède, Léger a visé les quotas relatifs à l’âge suivant :</w:t>
      </w:r>
    </w:p>
    <w:p w14:paraId="1040A50E" w14:textId="77777777" w:rsidR="008F62B4" w:rsidRPr="00C456B8" w:rsidRDefault="008F62B4" w:rsidP="008F62B4">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inorHAnsi" w:eastAsia="Times New Roman" w:hAnsiTheme="minorHAnsi" w:cstheme="minorHAnsi"/>
        </w:rPr>
      </w:pPr>
      <w:r w:rsidRPr="00C456B8">
        <w:rPr>
          <w:rFonts w:asciiTheme="minorHAnsi" w:hAnsiTheme="minorHAnsi"/>
        </w:rPr>
        <w:t>Personnes âgées de 18</w:t>
      </w:r>
      <w:r>
        <w:rPr>
          <w:rFonts w:asciiTheme="minorHAnsi" w:hAnsiTheme="minorHAnsi"/>
        </w:rPr>
        <w:t> </w:t>
      </w:r>
      <w:r w:rsidRPr="00C456B8">
        <w:rPr>
          <w:rFonts w:asciiTheme="minorHAnsi" w:hAnsiTheme="minorHAnsi"/>
        </w:rPr>
        <w:t>à 34 ans</w:t>
      </w:r>
      <w:r>
        <w:rPr>
          <w:rFonts w:asciiTheme="minorHAnsi" w:hAnsiTheme="minorHAnsi"/>
        </w:rPr>
        <w:t> </w:t>
      </w:r>
      <w:r w:rsidRPr="00C456B8">
        <w:rPr>
          <w:rFonts w:asciiTheme="minorHAnsi" w:hAnsiTheme="minorHAnsi"/>
        </w:rPr>
        <w:t xml:space="preserve">– 28 % </w:t>
      </w:r>
    </w:p>
    <w:p w14:paraId="1B08BBC4" w14:textId="77777777" w:rsidR="008F62B4" w:rsidRPr="00C456B8" w:rsidRDefault="008F62B4" w:rsidP="008F62B4">
      <w:pPr>
        <w:widowControl w:v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inorHAnsi" w:eastAsia="Times New Roman" w:hAnsiTheme="minorHAnsi" w:cstheme="minorHAnsi"/>
        </w:rPr>
      </w:pPr>
      <w:r w:rsidRPr="00C456B8">
        <w:rPr>
          <w:rFonts w:asciiTheme="minorHAnsi" w:hAnsiTheme="minorHAnsi"/>
        </w:rPr>
        <w:t>Personnes âgées de 18</w:t>
      </w:r>
      <w:r>
        <w:rPr>
          <w:rFonts w:asciiTheme="minorHAnsi" w:hAnsiTheme="minorHAnsi"/>
        </w:rPr>
        <w:t> </w:t>
      </w:r>
      <w:r w:rsidRPr="00C456B8">
        <w:rPr>
          <w:rFonts w:asciiTheme="minorHAnsi" w:hAnsiTheme="minorHAnsi"/>
        </w:rPr>
        <w:t>à 24 ans</w:t>
      </w:r>
      <w:r>
        <w:rPr>
          <w:rFonts w:asciiTheme="minorHAnsi" w:hAnsiTheme="minorHAnsi"/>
        </w:rPr>
        <w:t> </w:t>
      </w:r>
      <w:r w:rsidRPr="00C456B8">
        <w:rPr>
          <w:rFonts w:asciiTheme="minorHAnsi" w:hAnsiTheme="minorHAnsi"/>
        </w:rPr>
        <w:t>– 11 %</w:t>
      </w:r>
    </w:p>
    <w:p w14:paraId="39181217" w14:textId="77777777" w:rsidR="008F62B4" w:rsidRPr="00C456B8" w:rsidRDefault="008F62B4" w:rsidP="008F62B4">
      <w:pPr>
        <w:widowControl w:v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inorHAnsi" w:eastAsia="Times New Roman" w:hAnsiTheme="minorHAnsi" w:cstheme="minorHAnsi"/>
        </w:rPr>
      </w:pPr>
      <w:r w:rsidRPr="00C456B8">
        <w:rPr>
          <w:rFonts w:asciiTheme="minorHAnsi" w:hAnsiTheme="minorHAnsi"/>
        </w:rPr>
        <w:t>Personnes âgées de 25</w:t>
      </w:r>
      <w:r>
        <w:rPr>
          <w:rFonts w:asciiTheme="minorHAnsi" w:hAnsiTheme="minorHAnsi"/>
        </w:rPr>
        <w:t> </w:t>
      </w:r>
      <w:r w:rsidRPr="00C456B8">
        <w:rPr>
          <w:rFonts w:asciiTheme="minorHAnsi" w:hAnsiTheme="minorHAnsi"/>
        </w:rPr>
        <w:t>à 34 ans</w:t>
      </w:r>
      <w:r>
        <w:rPr>
          <w:rFonts w:asciiTheme="minorHAnsi" w:hAnsiTheme="minorHAnsi"/>
        </w:rPr>
        <w:t> </w:t>
      </w:r>
      <w:r w:rsidRPr="00C456B8">
        <w:rPr>
          <w:rFonts w:asciiTheme="minorHAnsi" w:hAnsiTheme="minorHAnsi"/>
        </w:rPr>
        <w:t>– 17 %</w:t>
      </w:r>
    </w:p>
    <w:p w14:paraId="6B7AC58F" w14:textId="77777777" w:rsidR="008F62B4" w:rsidRPr="00C456B8" w:rsidRDefault="008F62B4" w:rsidP="008F62B4">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inorHAnsi" w:eastAsia="Times New Roman" w:hAnsiTheme="minorHAnsi" w:cstheme="minorHAnsi"/>
        </w:rPr>
      </w:pPr>
      <w:r w:rsidRPr="00C456B8">
        <w:rPr>
          <w:rFonts w:asciiTheme="minorHAnsi" w:hAnsiTheme="minorHAnsi"/>
        </w:rPr>
        <w:t>Personnes âgées de 35</w:t>
      </w:r>
      <w:r>
        <w:rPr>
          <w:rFonts w:asciiTheme="minorHAnsi" w:hAnsiTheme="minorHAnsi"/>
        </w:rPr>
        <w:t> </w:t>
      </w:r>
      <w:r w:rsidRPr="00C456B8">
        <w:rPr>
          <w:rFonts w:asciiTheme="minorHAnsi" w:hAnsiTheme="minorHAnsi"/>
        </w:rPr>
        <w:t>à 54 ans</w:t>
      </w:r>
      <w:r>
        <w:rPr>
          <w:rFonts w:asciiTheme="minorHAnsi" w:hAnsiTheme="minorHAnsi"/>
        </w:rPr>
        <w:t> </w:t>
      </w:r>
      <w:r w:rsidRPr="00C456B8">
        <w:rPr>
          <w:rFonts w:asciiTheme="minorHAnsi" w:hAnsiTheme="minorHAnsi"/>
        </w:rPr>
        <w:t>– 32 %</w:t>
      </w:r>
    </w:p>
    <w:p w14:paraId="5FF9EA8B" w14:textId="77777777" w:rsidR="008F62B4" w:rsidRPr="00C456B8" w:rsidRDefault="008F62B4" w:rsidP="008F62B4">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inorHAnsi" w:eastAsia="Times New Roman" w:hAnsiTheme="minorHAnsi" w:cstheme="minorHAnsi"/>
        </w:rPr>
      </w:pPr>
      <w:r w:rsidRPr="00C456B8">
        <w:rPr>
          <w:rFonts w:asciiTheme="minorHAnsi" w:hAnsiTheme="minorHAnsi"/>
        </w:rPr>
        <w:t>Personnes âgées de 55 ans et plus</w:t>
      </w:r>
      <w:r>
        <w:rPr>
          <w:rFonts w:asciiTheme="minorHAnsi" w:hAnsiTheme="minorHAnsi"/>
        </w:rPr>
        <w:t> </w:t>
      </w:r>
      <w:r w:rsidRPr="00C456B8">
        <w:rPr>
          <w:rFonts w:asciiTheme="minorHAnsi" w:hAnsiTheme="minorHAnsi"/>
        </w:rPr>
        <w:t>– 40 %</w:t>
      </w:r>
    </w:p>
    <w:p w14:paraId="11A7D068" w14:textId="77777777" w:rsidR="008F62B4" w:rsidRPr="00C456B8" w:rsidRDefault="008F62B4" w:rsidP="008F62B4">
      <w:pPr>
        <w:spacing w:after="0" w:line="240" w:lineRule="auto"/>
        <w:jc w:val="both"/>
        <w:rPr>
          <w:rFonts w:asciiTheme="minorHAnsi" w:eastAsia="Arial" w:hAnsiTheme="minorHAnsi" w:cs="Arial"/>
          <w:bCs/>
          <w:lang w:eastAsia="fr-CA"/>
        </w:rPr>
      </w:pPr>
    </w:p>
    <w:p w14:paraId="6DF2ED8F" w14:textId="587CF56F" w:rsidR="008F62B4" w:rsidRPr="00C456B8" w:rsidRDefault="008F62B4" w:rsidP="008F62B4">
      <w:pPr>
        <w:spacing w:after="0"/>
        <w:jc w:val="both"/>
        <w:rPr>
          <w:rFonts w:asciiTheme="minorHAnsi" w:eastAsia="Arial" w:hAnsiTheme="minorHAnsi" w:cs="Arial"/>
          <w:bCs/>
        </w:rPr>
      </w:pPr>
      <w:r w:rsidRPr="00C456B8">
        <w:rPr>
          <w:rFonts w:asciiTheme="minorHAnsi" w:hAnsiTheme="minorHAnsi"/>
        </w:rPr>
        <w:t>Comme pour tout échantillon de la population générale provenant d’un sondage national, les résultats finaux ont été pondérés par région, groupe d’âge, genre, niveau d’éducation</w:t>
      </w:r>
      <w:r>
        <w:rPr>
          <w:rFonts w:asciiTheme="minorHAnsi" w:hAnsiTheme="minorHAnsi"/>
        </w:rPr>
        <w:t>,</w:t>
      </w:r>
      <w:r w:rsidRPr="00C456B8">
        <w:rPr>
          <w:rFonts w:asciiTheme="minorHAnsi" w:hAnsiTheme="minorHAnsi"/>
        </w:rPr>
        <w:t xml:space="preserve"> </w:t>
      </w:r>
      <w:r w:rsidRPr="002E783E">
        <w:rPr>
          <w:rFonts w:asciiTheme="minorHAnsi" w:hAnsiTheme="minorHAnsi"/>
        </w:rPr>
        <w:t>ainsi que toute autre variable utilisée pour le suréchantillon</w:t>
      </w:r>
      <w:r>
        <w:rPr>
          <w:rFonts w:asciiTheme="minorHAnsi" w:hAnsiTheme="minorHAnsi"/>
        </w:rPr>
        <w:t>nage</w:t>
      </w:r>
      <w:r w:rsidRPr="002E783E">
        <w:rPr>
          <w:rFonts w:asciiTheme="minorHAnsi" w:hAnsiTheme="minorHAnsi"/>
        </w:rPr>
        <w:t xml:space="preserve"> lorsque cela est nécessaire pour que les échantillons finaux soient représentatifs de la population réelle du Canada</w:t>
      </w:r>
      <w:r w:rsidRPr="00C456B8">
        <w:rPr>
          <w:rFonts w:asciiTheme="minorHAnsi" w:hAnsiTheme="minorHAnsi"/>
        </w:rPr>
        <w:t xml:space="preserve">. </w:t>
      </w:r>
    </w:p>
    <w:p w14:paraId="1B90879B" w14:textId="77777777" w:rsidR="008F62B4" w:rsidRPr="00C456B8" w:rsidRDefault="008F62B4" w:rsidP="008F62B4">
      <w:pPr>
        <w:pStyle w:val="Heading2"/>
      </w:pPr>
      <w:bookmarkStart w:id="23" w:name="_Toc162453333"/>
      <w:r w:rsidRPr="00C456B8">
        <w:t>1.6</w:t>
      </w:r>
      <w:r>
        <w:t> </w:t>
      </w:r>
      <w:r w:rsidRPr="00C456B8">
        <w:t>Méthode d’interview Web assistée par ordinateur (IWAO)</w:t>
      </w:r>
      <w:bookmarkEnd w:id="23"/>
    </w:p>
    <w:p w14:paraId="12AEF424" w14:textId="77777777" w:rsidR="008F62B4" w:rsidRPr="00C456B8" w:rsidRDefault="008F62B4" w:rsidP="008F62B4">
      <w:pPr>
        <w:keepNext/>
        <w:spacing w:before="240" w:after="160"/>
        <w:jc w:val="both"/>
        <w:rPr>
          <w:rFonts w:asciiTheme="minorHAnsi" w:hAnsiTheme="minorHAnsi" w:cstheme="minorHAnsi"/>
        </w:rPr>
      </w:pPr>
      <w:r w:rsidRPr="00C456B8">
        <w:rPr>
          <w:rFonts w:asciiTheme="minorHAnsi" w:hAnsiTheme="minorHAnsi"/>
        </w:rPr>
        <w:t xml:space="preserve">Pour ces enquêtes en ligne, une méthode d’interview Web assistée par ordinateur (IWAO) avec des questionnaires autogérés a été utilisée. </w:t>
      </w:r>
    </w:p>
    <w:p w14:paraId="5CD8D0B5" w14:textId="77777777" w:rsidR="008F62B4" w:rsidRPr="00C456B8" w:rsidRDefault="008F62B4" w:rsidP="008F62B4">
      <w:pPr>
        <w:keepNext/>
        <w:spacing w:before="240" w:after="160"/>
        <w:jc w:val="both"/>
        <w:rPr>
          <w:rFonts w:asciiTheme="minorHAnsi" w:hAnsiTheme="minorHAnsi" w:cstheme="minorHAnsi"/>
        </w:rPr>
      </w:pPr>
      <w:r w:rsidRPr="00C456B8">
        <w:rPr>
          <w:rFonts w:asciiTheme="minorHAnsi" w:hAnsiTheme="minorHAnsi"/>
        </w:rPr>
        <w:t>Léger a communiqué avec toutes les personnes interviewées. Toutes les invitations étaient bilingues pour veiller à ce qu’aucun répondant ne reçoive une invitation unilingue dans la mauvaise langue officielle.</w:t>
      </w:r>
    </w:p>
    <w:p w14:paraId="04CBA279" w14:textId="77777777" w:rsidR="008F62B4" w:rsidRPr="00C456B8" w:rsidRDefault="008F62B4" w:rsidP="008F62B4">
      <w:pPr>
        <w:spacing w:before="240" w:after="160"/>
        <w:jc w:val="both"/>
        <w:rPr>
          <w:rFonts w:asciiTheme="minorHAnsi" w:hAnsiTheme="minorHAnsi" w:cstheme="minorHAnsi"/>
        </w:rPr>
      </w:pPr>
      <w:r w:rsidRPr="00C456B8">
        <w:rPr>
          <w:rFonts w:asciiTheme="minorHAnsi" w:hAnsiTheme="minorHAnsi"/>
        </w:rPr>
        <w:t>Chaque courriel d’invitation contenait un lien URL unique sur lequel les répondants n’avaient qu’à cliquer pour accéder à l’enquête dans la langue de leur choix. Dans les serveurs d’enquête en ligne de Léger, le répondant était invité à confirmer son choix de langue avant d’accéder à l’enquête. Les personnes interrogées pouvaient également répondre à l’enquête en plusieurs fois, si elles le souhaitaient. Il leur suffisait de quitter l’enquête et d’y revenir plus tard en utilisant l’URL unique qui leur avait été fournie lors de leur première visite. Toutes les données saisies sont strictement contenues sur les serveurs canadiens de Léger et seront protégées par un procédé de cryptage SSL.</w:t>
      </w:r>
    </w:p>
    <w:p w14:paraId="1324B2F5" w14:textId="77777777" w:rsidR="008F62B4" w:rsidRPr="00C456B8" w:rsidRDefault="008F62B4" w:rsidP="008F62B4">
      <w:pPr>
        <w:pStyle w:val="Heading2"/>
      </w:pPr>
      <w:bookmarkStart w:id="24" w:name="_Toc162453334"/>
      <w:r w:rsidRPr="00C456B8">
        <w:t>1.7</w:t>
      </w:r>
      <w:r>
        <w:t> </w:t>
      </w:r>
      <w:r w:rsidRPr="00C456B8">
        <w:t>Accessibilité de l’enquête</w:t>
      </w:r>
      <w:bookmarkEnd w:id="24"/>
      <w:r w:rsidRPr="00C456B8">
        <w:t xml:space="preserve"> </w:t>
      </w:r>
    </w:p>
    <w:p w14:paraId="01F220EC" w14:textId="77777777" w:rsidR="008F62B4" w:rsidRPr="00C456B8" w:rsidRDefault="008F62B4" w:rsidP="008F62B4">
      <w:pPr>
        <w:keepNext/>
        <w:spacing w:before="240" w:after="160"/>
        <w:jc w:val="both"/>
        <w:rPr>
          <w:rFonts w:asciiTheme="minorHAnsi" w:eastAsia="Arial" w:hAnsiTheme="minorHAnsi" w:cs="Arial"/>
          <w:bCs/>
        </w:rPr>
      </w:pPr>
      <w:r w:rsidRPr="00C456B8">
        <w:rPr>
          <w:rFonts w:asciiTheme="minorHAnsi" w:hAnsiTheme="minorHAnsi"/>
        </w:rPr>
        <w:t xml:space="preserve">Les enquêtes ont été programmées conformément aux </w:t>
      </w:r>
      <w:r w:rsidRPr="005B4A46">
        <w:rPr>
          <w:rFonts w:asciiTheme="minorHAnsi" w:hAnsiTheme="minorHAnsi"/>
        </w:rPr>
        <w:t>Directives pour l’accessibilité aux contenus Web (version 2.0).</w:t>
      </w:r>
    </w:p>
    <w:p w14:paraId="40E5AEE3" w14:textId="77777777" w:rsidR="008F62B4" w:rsidRPr="005B4A46" w:rsidRDefault="008F62B4" w:rsidP="008F62B4">
      <w:pPr>
        <w:pStyle w:val="Heading2"/>
        <w:rPr>
          <w:rFonts w:eastAsia="Arial"/>
        </w:rPr>
      </w:pPr>
      <w:bookmarkStart w:id="25" w:name="_Toc162453335"/>
      <w:r w:rsidRPr="00C456B8">
        <w:t>1.8 Augmentation du taux de participation</w:t>
      </w:r>
      <w:bookmarkEnd w:id="25"/>
    </w:p>
    <w:p w14:paraId="46731A4D" w14:textId="77777777" w:rsidR="008F62B4" w:rsidRPr="00C456B8" w:rsidRDefault="008F62B4" w:rsidP="008F62B4">
      <w:pPr>
        <w:keepNext/>
        <w:spacing w:before="240" w:after="160"/>
        <w:jc w:val="both"/>
        <w:rPr>
          <w:rFonts w:asciiTheme="minorHAnsi" w:eastAsia="Arial" w:hAnsiTheme="minorHAnsi" w:cstheme="minorHAnsi"/>
        </w:rPr>
      </w:pPr>
      <w:r w:rsidRPr="00C456B8">
        <w:rPr>
          <w:rFonts w:asciiTheme="minorHAnsi" w:hAnsiTheme="minorHAnsi"/>
        </w:rPr>
        <w:t xml:space="preserve">Certaines mesures ont été prises afin d’augmenter le taux de participation des répondants à l’enquête en ligne, ainsi que pour réduire le nombre de questionnaires incomplets et accroître la représentativité de </w:t>
      </w:r>
      <w:r w:rsidRPr="00C456B8">
        <w:rPr>
          <w:rFonts w:asciiTheme="minorHAnsi" w:hAnsiTheme="minorHAnsi"/>
        </w:rPr>
        <w:lastRenderedPageBreak/>
        <w:t xml:space="preserve">l’échantillon final. Les méthodes suivantes ont permis d’augmenter les taux de participation, réduisant ainsi le biais de non-réponse pour certains sous-groupes : </w:t>
      </w:r>
    </w:p>
    <w:p w14:paraId="48C4D2AA" w14:textId="77777777" w:rsidR="008F62B4" w:rsidRPr="00C456B8" w:rsidRDefault="008F62B4" w:rsidP="008F62B4">
      <w:pPr>
        <w:numPr>
          <w:ilvl w:val="0"/>
          <w:numId w:val="2"/>
        </w:numPr>
        <w:spacing w:after="0"/>
        <w:contextualSpacing/>
        <w:jc w:val="both"/>
        <w:rPr>
          <w:rFonts w:asciiTheme="minorHAnsi" w:eastAsia="Arial" w:hAnsiTheme="minorHAnsi" w:cstheme="minorHAnsi"/>
        </w:rPr>
      </w:pPr>
      <w:r w:rsidRPr="00C456B8">
        <w:rPr>
          <w:rFonts w:asciiTheme="minorHAnsi" w:hAnsiTheme="minorHAnsi"/>
        </w:rPr>
        <w:t>Le commanditaire de l’enquête et le sujet sont identifiés dans l’enquête afin que les répondants potentiels puissent rapidement vérifier qu’il s’agit d’une enquête légitime de politique publique et non d’un stratagème de télémarketing.</w:t>
      </w:r>
    </w:p>
    <w:p w14:paraId="41D2A3AB" w14:textId="77777777" w:rsidR="008F62B4" w:rsidRPr="00C456B8" w:rsidRDefault="008F62B4" w:rsidP="008F62B4">
      <w:pPr>
        <w:numPr>
          <w:ilvl w:val="0"/>
          <w:numId w:val="2"/>
        </w:numPr>
        <w:spacing w:after="0"/>
        <w:contextualSpacing/>
        <w:jc w:val="both"/>
        <w:rPr>
          <w:rFonts w:asciiTheme="minorHAnsi" w:eastAsia="Arial" w:hAnsiTheme="minorHAnsi" w:cstheme="minorHAnsi"/>
        </w:rPr>
      </w:pPr>
      <w:r w:rsidRPr="00C456B8">
        <w:rPr>
          <w:rFonts w:asciiTheme="minorHAnsi" w:hAnsiTheme="minorHAnsi"/>
        </w:rPr>
        <w:t>Les personnes interrogées peuvent interrompre l’enquête et la reprendre plus tard, en recommençant exactement là où elles se trouvaient avant la pause, sans perdre leurs données.</w:t>
      </w:r>
    </w:p>
    <w:p w14:paraId="48DD9DC7" w14:textId="77777777" w:rsidR="008F62B4" w:rsidRPr="00C456B8" w:rsidRDefault="008F62B4" w:rsidP="008F62B4">
      <w:pPr>
        <w:numPr>
          <w:ilvl w:val="0"/>
          <w:numId w:val="2"/>
        </w:numPr>
        <w:spacing w:after="0"/>
        <w:contextualSpacing/>
        <w:jc w:val="both"/>
        <w:rPr>
          <w:rFonts w:asciiTheme="minorHAnsi" w:eastAsia="Arial" w:hAnsiTheme="minorHAnsi" w:cstheme="minorHAnsi"/>
        </w:rPr>
      </w:pPr>
      <w:r w:rsidRPr="00C456B8">
        <w:rPr>
          <w:rFonts w:asciiTheme="minorHAnsi" w:hAnsiTheme="minorHAnsi"/>
        </w:rPr>
        <w:t xml:space="preserve">L’enquête est accessible 24 heures sur 24, sept jours sur sept, à partir de n’importe quel ordinateur connecté à Internet et de n’importe quel appareil portable </w:t>
      </w:r>
      <w:r w:rsidRPr="00C456B8">
        <w:rPr>
          <w:rFonts w:asciiTheme="minorHAnsi" w:hAnsiTheme="minorHAnsi"/>
          <w:b/>
        </w:rPr>
        <w:t>(tablettes et téléphones intelligents)</w:t>
      </w:r>
      <w:r w:rsidRPr="00C456B8">
        <w:rPr>
          <w:rFonts w:asciiTheme="minorHAnsi" w:hAnsiTheme="minorHAnsi"/>
        </w:rPr>
        <w:t>.</w:t>
      </w:r>
    </w:p>
    <w:p w14:paraId="78FAC025" w14:textId="77777777" w:rsidR="008F62B4" w:rsidRPr="00C456B8" w:rsidRDefault="008F62B4" w:rsidP="008F62B4">
      <w:pPr>
        <w:numPr>
          <w:ilvl w:val="0"/>
          <w:numId w:val="2"/>
        </w:numPr>
        <w:spacing w:after="0"/>
        <w:contextualSpacing/>
        <w:jc w:val="both"/>
        <w:rPr>
          <w:rFonts w:asciiTheme="minorHAnsi" w:eastAsia="Arial" w:hAnsiTheme="minorHAnsi" w:cstheme="minorHAnsi"/>
        </w:rPr>
      </w:pPr>
      <w:r w:rsidRPr="00C456B8">
        <w:rPr>
          <w:rFonts w:asciiTheme="minorHAnsi" w:hAnsiTheme="minorHAnsi"/>
        </w:rPr>
        <w:t>En cas de problèmes techniques, les répondants peuvent envoyer un courriel à notre équipe de soutien technique ou communiquer directement avec Léger par téléphone. Notre équipe de soutien technique est disponible pendant toute l’étude sur le terrain pour aider à résoudre les problèmes éventuels.</w:t>
      </w:r>
    </w:p>
    <w:p w14:paraId="46AA3803" w14:textId="77777777" w:rsidR="008F62B4" w:rsidRPr="00C456B8" w:rsidRDefault="008F62B4" w:rsidP="008F62B4">
      <w:pPr>
        <w:spacing w:after="0" w:line="240" w:lineRule="auto"/>
        <w:jc w:val="both"/>
        <w:rPr>
          <w:rFonts w:asciiTheme="minorHAnsi" w:eastAsia="Arial" w:hAnsiTheme="minorHAnsi" w:cstheme="minorHAnsi"/>
          <w:lang w:eastAsia="fr-CA"/>
        </w:rPr>
      </w:pPr>
    </w:p>
    <w:p w14:paraId="0B33AC93" w14:textId="77777777" w:rsidR="008F62B4" w:rsidRPr="00C456B8" w:rsidRDefault="008F62B4" w:rsidP="008F62B4">
      <w:pPr>
        <w:pStyle w:val="Heading2"/>
      </w:pPr>
      <w:bookmarkStart w:id="26" w:name="_Toc162453336"/>
      <w:r w:rsidRPr="00C456B8">
        <w:t>1.9 Rémunération</w:t>
      </w:r>
      <w:bookmarkEnd w:id="26"/>
    </w:p>
    <w:p w14:paraId="587042F1" w14:textId="77777777" w:rsidR="008F62B4" w:rsidRPr="005B4A46" w:rsidRDefault="008F62B4" w:rsidP="008F62B4">
      <w:pPr>
        <w:keepNext/>
        <w:spacing w:before="240" w:after="160"/>
        <w:jc w:val="both"/>
        <w:rPr>
          <w:rFonts w:asciiTheme="minorHAnsi" w:hAnsiTheme="minorHAnsi"/>
        </w:rPr>
      </w:pPr>
      <w:r w:rsidRPr="005B4A46">
        <w:rPr>
          <w:rFonts w:asciiTheme="minorHAnsi" w:hAnsiTheme="minorHAnsi"/>
        </w:rPr>
        <w:t>Tous les panélistes reçoivent des incitatifs pour participer à nos enquêtes. L’incitatif à remplir un questionnaire de 20 minutes est de 2,00 $.</w:t>
      </w:r>
    </w:p>
    <w:p w14:paraId="65C4F296" w14:textId="77777777" w:rsidR="0083227E" w:rsidRDefault="0083227E"/>
    <w:sectPr w:rsidR="00832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2CAB"/>
    <w:multiLevelType w:val="hybridMultilevel"/>
    <w:tmpl w:val="9A4AB5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12D374B"/>
    <w:multiLevelType w:val="multilevel"/>
    <w:tmpl w:val="C7CC9A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0001225"/>
    <w:multiLevelType w:val="hybridMultilevel"/>
    <w:tmpl w:val="88DE3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507501">
    <w:abstractNumId w:val="1"/>
  </w:num>
  <w:num w:numId="2" w16cid:durableId="1944876319">
    <w:abstractNumId w:val="0"/>
  </w:num>
  <w:num w:numId="3" w16cid:durableId="1975715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B4"/>
    <w:rsid w:val="00145890"/>
    <w:rsid w:val="001D3A47"/>
    <w:rsid w:val="005566A5"/>
    <w:rsid w:val="006F66EE"/>
    <w:rsid w:val="00792BA2"/>
    <w:rsid w:val="0083227E"/>
    <w:rsid w:val="00892CE3"/>
    <w:rsid w:val="008F62B4"/>
    <w:rsid w:val="00D90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DAFC"/>
  <w15:chartTrackingRefBased/>
  <w15:docId w15:val="{B1DC7475-ECF6-40C1-8628-5E7EC2DD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B4"/>
    <w:pPr>
      <w:spacing w:after="200" w:line="276" w:lineRule="auto"/>
    </w:pPr>
    <w:rPr>
      <w:rFonts w:ascii="Calibri" w:eastAsia="Calibri" w:hAnsi="Calibri" w:cs="Times New Roman"/>
      <w:kern w:val="0"/>
      <w:lang w:val="fr-CA"/>
      <w14:ligatures w14:val="none"/>
    </w:rPr>
  </w:style>
  <w:style w:type="paragraph" w:styleId="Heading1">
    <w:name w:val="heading 1"/>
    <w:basedOn w:val="Normal"/>
    <w:next w:val="Normal"/>
    <w:link w:val="Heading1Char"/>
    <w:uiPriority w:val="9"/>
    <w:qFormat/>
    <w:rsid w:val="008F62B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8F62B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2B4"/>
    <w:rPr>
      <w:rFonts w:ascii="Cambria" w:eastAsia="Times New Roman" w:hAnsi="Cambria" w:cs="Times New Roman"/>
      <w:b/>
      <w:bCs/>
      <w:kern w:val="32"/>
      <w:sz w:val="32"/>
      <w:szCs w:val="32"/>
      <w:lang w:val="fr-CA"/>
      <w14:ligatures w14:val="none"/>
    </w:rPr>
  </w:style>
  <w:style w:type="character" w:customStyle="1" w:styleId="Heading2Char">
    <w:name w:val="Heading 2 Char"/>
    <w:basedOn w:val="DefaultParagraphFont"/>
    <w:link w:val="Heading2"/>
    <w:uiPriority w:val="9"/>
    <w:rsid w:val="008F62B4"/>
    <w:rPr>
      <w:rFonts w:ascii="Cambria" w:eastAsia="Times New Roman" w:hAnsi="Cambria" w:cs="Times New Roman"/>
      <w:b/>
      <w:bCs/>
      <w:i/>
      <w:iCs/>
      <w:kern w:val="0"/>
      <w:sz w:val="28"/>
      <w:szCs w:val="28"/>
      <w:lang w:val="fr-CA"/>
      <w14:ligatures w14:val="none"/>
    </w:rPr>
  </w:style>
  <w:style w:type="paragraph" w:customStyle="1" w:styleId="1Report">
    <w:name w:val="1_Report"/>
    <w:basedOn w:val="Normal"/>
    <w:qFormat/>
    <w:rsid w:val="008F62B4"/>
    <w:pPr>
      <w:autoSpaceDE w:val="0"/>
      <w:autoSpaceDN w:val="0"/>
      <w:adjustRightInd w:val="0"/>
      <w:spacing w:after="0" w:line="288" w:lineRule="auto"/>
      <w:textAlignment w:val="center"/>
    </w:pPr>
    <w:rPr>
      <w:rFonts w:cs="Calibri"/>
      <w:color w:val="EE3B33"/>
      <w:sz w:val="46"/>
      <w:szCs w:val="46"/>
      <w:lang w:eastAsia="fr-CA"/>
    </w:rPr>
  </w:style>
  <w:style w:type="paragraph" w:customStyle="1" w:styleId="3Subtitle">
    <w:name w:val="3_Subtitle"/>
    <w:basedOn w:val="Normal"/>
    <w:next w:val="Normal"/>
    <w:qFormat/>
    <w:rsid w:val="008F62B4"/>
    <w:pPr>
      <w:autoSpaceDE w:val="0"/>
      <w:autoSpaceDN w:val="0"/>
      <w:adjustRightInd w:val="0"/>
      <w:spacing w:after="0" w:line="640" w:lineRule="atLeast"/>
      <w:textAlignment w:val="center"/>
    </w:pPr>
    <w:rPr>
      <w:rFonts w:cs="Calibri"/>
      <w:color w:val="000000"/>
      <w:sz w:val="40"/>
      <w:szCs w:val="40"/>
      <w:lang w:eastAsia="fr-CA"/>
    </w:rPr>
  </w:style>
  <w:style w:type="character" w:styleId="Hyperlink">
    <w:name w:val="Hyperlink"/>
    <w:uiPriority w:val="99"/>
    <w:unhideWhenUsed/>
    <w:rsid w:val="008F62B4"/>
    <w:rPr>
      <w:color w:val="0000FF"/>
      <w:u w:val="single"/>
    </w:rPr>
  </w:style>
  <w:style w:type="paragraph" w:styleId="TOC1">
    <w:name w:val="toc 1"/>
    <w:basedOn w:val="Normal"/>
    <w:next w:val="Normal"/>
    <w:uiPriority w:val="39"/>
    <w:qFormat/>
    <w:rsid w:val="008F62B4"/>
    <w:pPr>
      <w:tabs>
        <w:tab w:val="right" w:pos="10790"/>
      </w:tabs>
    </w:pPr>
    <w:rPr>
      <w:b/>
      <w:sz w:val="24"/>
      <w:szCs w:val="24"/>
    </w:rPr>
  </w:style>
  <w:style w:type="paragraph" w:styleId="TOC2">
    <w:name w:val="toc 2"/>
    <w:basedOn w:val="TOC1"/>
    <w:next w:val="Normal"/>
    <w:autoRedefine/>
    <w:uiPriority w:val="39"/>
    <w:qFormat/>
    <w:rsid w:val="008F62B4"/>
    <w:pPr>
      <w:ind w:left="432"/>
    </w:pPr>
    <w:rPr>
      <w:noProof/>
    </w:rPr>
  </w:style>
  <w:style w:type="paragraph" w:customStyle="1" w:styleId="Rapportnormal">
    <w:name w:val="Rapport normal"/>
    <w:basedOn w:val="Normal"/>
    <w:link w:val="RapportnormalCar"/>
    <w:qFormat/>
    <w:rsid w:val="008F62B4"/>
    <w:pPr>
      <w:autoSpaceDE w:val="0"/>
      <w:autoSpaceDN w:val="0"/>
      <w:adjustRightInd w:val="0"/>
      <w:spacing w:after="216" w:line="270" w:lineRule="atLeast"/>
      <w:jc w:val="both"/>
    </w:pPr>
    <w:rPr>
      <w:rFonts w:eastAsia="Times New Roman"/>
      <w:sz w:val="24"/>
      <w:szCs w:val="24"/>
    </w:rPr>
  </w:style>
  <w:style w:type="character" w:customStyle="1" w:styleId="RapportnormalCar">
    <w:name w:val="Rapport normal Car"/>
    <w:link w:val="Rapportnormal"/>
    <w:rsid w:val="008F62B4"/>
    <w:rPr>
      <w:rFonts w:ascii="Calibri" w:eastAsia="Times New Roman" w:hAnsi="Calibri" w:cs="Times New Roman"/>
      <w:kern w:val="0"/>
      <w:sz w:val="24"/>
      <w:szCs w:val="24"/>
      <w:lang w:val="fr-CA"/>
      <w14:ligatures w14:val="none"/>
    </w:rPr>
  </w:style>
  <w:style w:type="character" w:customStyle="1" w:styleId="titlefrench0">
    <w:name w:val="titlefrench0"/>
    <w:basedOn w:val="DefaultParagraphFont"/>
    <w:rsid w:val="008F6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bourque@leger360.com" TargetMode="External"/><Relationship Id="rId3" Type="http://schemas.openxmlformats.org/officeDocument/2006/relationships/styles" Target="styles.xml"/><Relationship Id="rId7" Type="http://schemas.openxmlformats.org/officeDocument/2006/relationships/hyperlink" Target="mailto:por-rop@pco-bcp.gc.ca" TargetMode="Externa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bs-sct.canada.ca/pol/doc-fra.aspx?id=306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bs-sct.canada.ca/pol/doc-fra.aspx?id=30683" TargetMode="External"/><Relationship Id="rId4" Type="http://schemas.openxmlformats.org/officeDocument/2006/relationships/settings" Target="settings.xml"/><Relationship Id="rId9" Type="http://schemas.openxmlformats.org/officeDocument/2006/relationships/hyperlink" Target="mailto:por-rop@pco-bcp.gc.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5C0E-5A51-4FCB-B61F-8C58AC9E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Laflamme, Geneviève</dc:creator>
  <cp:keywords/>
  <dc:description/>
  <cp:lastModifiedBy>Laflamme, Geneviève</cp:lastModifiedBy>
  <cp:revision>2</cp:revision>
  <cp:lastPrinted>2024-12-18T19:38:00Z</cp:lastPrinted>
  <dcterms:created xsi:type="dcterms:W3CDTF">2024-12-19T13:22:00Z</dcterms:created>
  <dcterms:modified xsi:type="dcterms:W3CDTF">2024-12-19T13:22:00Z</dcterms:modified>
</cp:coreProperties>
</file>